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Supplementary Materials</w:t>
      </w:r>
    </w:p>
    <w:p>
      <w:pPr>
        <w:pStyle w:val="Subtitle"/>
      </w:pPr>
      <w:r>
        <w:t xml:space="preserve">Diagnostic Accuracy and Safety of Cone-Beam CT-Guided Percutaneous Transthoracic Lung Biopsy: An Updated Systematic Review and Meta-Analysis</w:t>
      </w:r>
    </w:p>
    <w:bookmarkStart w:id="9" w:name="contents"/>
    <w:p>
      <w:pPr>
        <w:pStyle w:val="Heading1"/>
      </w:pPr>
      <w:r>
        <w:t xml:space="preserve">Contents</w:t>
      </w:r>
    </w:p>
    <w:p>
      <w:pPr>
        <w:pStyle w:val="Compact"/>
        <w:numPr>
          <w:ilvl w:val="0"/>
          <w:numId w:val="1001"/>
        </w:numPr>
      </w:pPr>
      <w:r>
        <w:t xml:space="preserve">Supplementary Material 1 — Full search strategies (PubMed, Embase, and Cochrane CENTRAL confirmatory search)</w:t>
      </w:r>
    </w:p>
    <w:p>
      <w:pPr>
        <w:pStyle w:val="Compact"/>
        <w:numPr>
          <w:ilvl w:val="0"/>
          <w:numId w:val="1001"/>
        </w:numPr>
      </w:pPr>
      <w:r>
        <w:t xml:space="preserve">Supplementary Material 2 — Deduplication workflow (PubMed↔Embase↔CENTRAL, PMID + title fuzzy match, N at each step)</w:t>
      </w:r>
    </w:p>
    <w:p>
      <w:pPr>
        <w:pStyle w:val="Compact"/>
        <w:numPr>
          <w:ilvl w:val="0"/>
          <w:numId w:val="1001"/>
        </w:numPr>
      </w:pPr>
      <w:r>
        <w:t xml:space="preserve">Supplementary Material 3 — Screening consensus record (55 dual-review disagreements, 6 FLAG adjudications, per-study yield denominators, narrative-only inclusion rationale)</w:t>
      </w:r>
    </w:p>
    <w:p>
      <w:pPr>
        <w:pStyle w:val="Compact"/>
        <w:numPr>
          <w:ilvl w:val="0"/>
          <w:numId w:val="1001"/>
        </w:numPr>
      </w:pPr>
      <w:r>
        <w:t xml:space="preserve">Supplementary Material 4 — Inter-reviewer agreement metrics (Cohen κ vs Gwet AC1)</w:t>
      </w:r>
    </w:p>
    <w:p>
      <w:pPr>
        <w:pStyle w:val="Compact"/>
        <w:numPr>
          <w:ilvl w:val="0"/>
          <w:numId w:val="1001"/>
        </w:numPr>
      </w:pPr>
      <w:r>
        <w:t xml:space="preserve">Supplementary Material 5 — QUADAS-2 per-study risk-of-bias ratings</w:t>
      </w:r>
    </w:p>
    <w:p>
      <w:pPr>
        <w:pStyle w:val="Compact"/>
        <w:numPr>
          <w:ilvl w:val="0"/>
          <w:numId w:val="1001"/>
        </w:numPr>
      </w:pPr>
      <w:r>
        <w:t xml:space="preserve">Supplementary Material 6 — PROSPERO Version 1.2 amendment log (CENTRAL, ITD, subgroup framing)</w:t>
      </w:r>
    </w:p>
    <w:p>
      <w:pPr>
        <w:pStyle w:val="Compact"/>
        <w:numPr>
          <w:ilvl w:val="0"/>
          <w:numId w:val="1001"/>
        </w:numPr>
      </w:pPr>
      <w:r>
        <w:t xml:space="preserve">Supplementary Material 7 — Per-study sensitivity and specificity with 95% Clopper–Pearson confidence intervals (including per-study false-positive counts)</w:t>
      </w:r>
    </w:p>
    <w:p>
      <w:pPr>
        <w:pStyle w:val="Compact"/>
        <w:numPr>
          <w:ilvl w:val="0"/>
          <w:numId w:val="1001"/>
        </w:numPr>
      </w:pPr>
      <w:r>
        <w:t xml:space="preserve">Supplementary Material 8 — Per-study complication rates (pneumothorax k=22, pulmonary hemorrhage/hemoptysis k=19; 3 studies did not report)</w:t>
      </w:r>
    </w:p>
    <w:p>
      <w:pPr>
        <w:pStyle w:val="Compact"/>
        <w:numPr>
          <w:ilvl w:val="0"/>
          <w:numId w:val="1001"/>
        </w:numPr>
      </w:pPr>
      <w:r>
        <w:t xml:space="preserve">Supplementary Material 9 — Verification-bias tipping-point sensitivity analysis for specificity</w:t>
      </w:r>
    </w:p>
    <w:p>
      <w:pPr>
        <w:pStyle w:val="Compact"/>
        <w:numPr>
          <w:ilvl w:val="0"/>
          <w:numId w:val="1001"/>
        </w:numPr>
      </w:pPr>
      <w:r>
        <w:t xml:space="preserve">Supplementary Material 10 — Web of Science access-attempt and indirect comprehensiveness assessment (post-hoc)</w:t>
      </w:r>
    </w:p>
    <w:p>
      <w:pPr>
        <w:pStyle w:val="Compact"/>
        <w:numPr>
          <w:ilvl w:val="0"/>
          <w:numId w:val="1001"/>
        </w:numPr>
      </w:pPr>
      <w:r>
        <w:t xml:space="preserve">Supplementary Material 11 — PRISMA-DTA 27-item compliance checklist (supporting)</w:t>
      </w:r>
    </w:p>
    <w:p>
      <w:pPr>
        <w:pStyle w:val="Compact"/>
        <w:numPr>
          <w:ilvl w:val="0"/>
          <w:numId w:val="1001"/>
        </w:numPr>
      </w:pPr>
      <w:r>
        <w:t xml:space="preserve">Supplementary Material 12 — PRISMA-DTA flow diagram source data (CENTRAL-inclusive 1,057 raw / 906 unique)</w:t>
      </w:r>
    </w:p>
    <w:p>
      <w:pPr>
        <w:pStyle w:val="Compact"/>
        <w:numPr>
          <w:ilvl w:val="0"/>
          <w:numId w:val="1001"/>
        </w:numPr>
      </w:pPr>
      <w:r>
        <w:t xml:space="preserve">Supplementary Material 13 — Two-by-two contingency table reconstruction (8 back-calculated studies)</w:t>
      </w:r>
    </w:p>
    <w:bookmarkEnd w:id="9"/>
    <w:bookmarkStart w:id="25" w:name="X32bd629e7e001c6c4bbd98827519b1d2f7dc681"/>
    <w:p>
      <w:pPr>
        <w:pStyle w:val="Heading1"/>
      </w:pPr>
      <w:r>
        <w:t xml:space="preserve">Supplementary Material 1. Database search strategies</w:t>
      </w:r>
    </w:p>
    <w:bookmarkStart w:id="10" w:name="Xa17e080c8d182313219c70ae43cbcaa8d0fc308"/>
    <w:p>
      <w:pPr>
        <w:pStyle w:val="Heading2"/>
      </w:pPr>
      <w:r>
        <w:t xml:space="preserve">Diagnostic Accuracy and Safety of CBCT-Guided Percutaneous Transthoracic Lung Biopsy: A Systematic Review and Meta-Analysis</w:t>
      </w:r>
    </w:p>
    <w:p>
      <w:pPr>
        <w:pStyle w:val="Compact"/>
        <w:numPr>
          <w:ilvl w:val="0"/>
          <w:numId w:val="1002"/>
        </w:numPr>
      </w:pPr>
      <w:r>
        <w:t xml:space="preserve">Date: 2026-04-06</w:t>
      </w:r>
    </w:p>
    <w:p>
      <w:pPr>
        <w:pStyle w:val="Compact"/>
        <w:numPr>
          <w:ilvl w:val="0"/>
          <w:numId w:val="1002"/>
        </w:numPr>
      </w:pPr>
      <w:r>
        <w:t xml:space="preserve">Update of: Yan 2017 (PMID 28392852)</w:t>
      </w:r>
    </w:p>
    <w:p>
      <w:pPr>
        <w:pStyle w:val="Compact"/>
        <w:numPr>
          <w:ilvl w:val="0"/>
          <w:numId w:val="1002"/>
        </w:numPr>
      </w:pPr>
      <w:r>
        <w:t xml:space="preserve">No date restriction applied (comprehensive search)</w:t>
      </w:r>
    </w:p>
    <w:p>
      <w:pPr>
        <w:pStyle w:val="Compact"/>
        <w:numPr>
          <w:ilvl w:val="0"/>
          <w:numId w:val="1002"/>
        </w:numPr>
      </w:pPr>
      <w:r>
        <w:t xml:space="preserve">No language restriction applied</w:t>
      </w:r>
    </w:p>
    <w:p>
      <w:r>
        <w:pict>
          <v:rect style="width:0;height:1.5pt" o:hralign="center" o:hrstd="t" o:hr="t"/>
        </w:pict>
      </w:r>
    </w:p>
    <w:bookmarkEnd w:id="10"/>
    <w:bookmarkStart w:id="11" w:name="concept-blocks"/>
    <w:p>
      <w:pPr>
        <w:pStyle w:val="Heading2"/>
      </w:pPr>
      <w:r>
        <w:t xml:space="preserve">Concept Blocks</w:t>
      </w:r>
    </w:p>
    <w:tbl>
      <w:tblPr>
        <w:tblStyle w:val="Table"/>
        <w:tblW w:type="pct" w:w="5000"/>
        <w:tblLayout w:type="fixed"/>
        <w:tblLook w:firstRow="1" w:lastRow="0" w:firstColumn="0" w:lastColumn="0" w:noHBand="0" w:noVBand="0" w:val="0020"/>
      </w:tblPr>
      <w:tblGrid>
        <w:gridCol w:w="1911"/>
        <w:gridCol w:w="2457"/>
        <w:gridCol w:w="3550"/>
      </w:tblGrid>
      <w:tr>
        <w:trPr>
          <w:tblHeader w:val="on"/>
        </w:trPr>
        <w:tc>
          <w:tcPr/>
          <w:p>
            <w:pPr>
              <w:pStyle w:val="Compact"/>
            </w:pPr>
            <w:r>
              <w:t xml:space="preserve">Block</w:t>
            </w:r>
          </w:p>
        </w:tc>
        <w:tc>
          <w:tcPr/>
          <w:p>
            <w:pPr>
              <w:pStyle w:val="Compact"/>
            </w:pPr>
            <w:r>
              <w:t xml:space="preserve">Concept</w:t>
            </w:r>
          </w:p>
        </w:tc>
        <w:tc>
          <w:tcPr/>
          <w:p>
            <w:pPr>
              <w:pStyle w:val="Compact"/>
            </w:pPr>
            <w:r>
              <w:t xml:space="preserve">Description</w:t>
            </w:r>
          </w:p>
        </w:tc>
      </w:tr>
      <w:tr>
        <w:tc>
          <w:tcPr/>
          <w:p>
            <w:pPr>
              <w:pStyle w:val="Compact"/>
            </w:pPr>
            <w:r>
              <w:t xml:space="preserve">#1</w:t>
            </w:r>
          </w:p>
        </w:tc>
        <w:tc>
          <w:tcPr/>
          <w:p>
            <w:pPr>
              <w:pStyle w:val="Compact"/>
            </w:pPr>
            <w:r>
              <w:t xml:space="preserve">CBCT imaging modality</w:t>
            </w:r>
          </w:p>
        </w:tc>
        <w:tc>
          <w:tcPr/>
          <w:p>
            <w:pPr>
              <w:pStyle w:val="Compact"/>
            </w:pPr>
            <w:r>
              <w:t xml:space="preserve">All synonyms for cone-beam CT and related flat-panel / C-arm imaging</w:t>
            </w:r>
          </w:p>
        </w:tc>
      </w:tr>
      <w:tr>
        <w:tc>
          <w:tcPr/>
          <w:p>
            <w:pPr>
              <w:pStyle w:val="Compact"/>
            </w:pPr>
            <w:r>
              <w:t xml:space="preserve">#2</w:t>
            </w:r>
          </w:p>
        </w:tc>
        <w:tc>
          <w:tcPr/>
          <w:p>
            <w:pPr>
              <w:pStyle w:val="Compact"/>
            </w:pPr>
            <w:r>
              <w:t xml:space="preserve">Percutaneous lung biopsy</w:t>
            </w:r>
          </w:p>
        </w:tc>
        <w:tc>
          <w:tcPr/>
          <w:p>
            <w:pPr>
              <w:pStyle w:val="Compact"/>
            </w:pPr>
            <w:r>
              <w:t xml:space="preserve">Percutaneous transthoracic needle biopsy of lung/pulmonary lesions</w:t>
            </w:r>
          </w:p>
        </w:tc>
      </w:tr>
      <w:tr>
        <w:tc>
          <w:tcPr/>
          <w:p>
            <w:pPr>
              <w:pStyle w:val="Compact"/>
            </w:pPr>
            <w:r>
              <w:t xml:space="preserve">#3</w:t>
            </w:r>
          </w:p>
        </w:tc>
        <w:tc>
          <w:tcPr/>
          <w:p>
            <w:pPr>
              <w:pStyle w:val="Compact"/>
            </w:pPr>
            <w:r>
              <w:t xml:space="preserve">Diagnostic outcomes &amp; safety</w:t>
            </w:r>
          </w:p>
        </w:tc>
        <w:tc>
          <w:tcPr/>
          <w:p>
            <w:pPr>
              <w:pStyle w:val="Compact"/>
            </w:pPr>
            <w:r>
              <w:t xml:space="preserve">Diagnostic accuracy, yield, complications (optional — see note)</w:t>
            </w:r>
          </w:p>
        </w:tc>
      </w:tr>
    </w:tbl>
    <w:p>
      <w:pPr>
        <w:pStyle w:val="BodyText"/>
      </w:pPr>
      <w:r>
        <w:rPr>
          <w:b/>
          <w:bCs/>
        </w:rPr>
        <w:t xml:space="preserve">Note on Block #3</w:t>
      </w:r>
      <w:r>
        <w:t xml:space="preserve">: Block #3 is intentionally OMITTED from the final combination in all databases per Cochrane DTA Handbook guidance, which explicitly discourages the use of diagnostic accuracy or methodology filters in DTA systematic reviews (Chapter 7.2). Using only #1 AND #2 maximizes sensitivity and avoids missing studies that do not explicitly mention</w:t>
      </w:r>
      <w:r>
        <w:t xml:space="preserve"> </w:t>
      </w:r>
      <w:r>
        <w:t xml:space="preserve">“accuracy”</w:t>
      </w:r>
      <w:r>
        <w:t xml:space="preserve"> </w:t>
      </w:r>
      <w:r>
        <w:t xml:space="preserve">or</w:t>
      </w:r>
      <w:r>
        <w:t xml:space="preserve"> </w:t>
      </w:r>
      <w:r>
        <w:t xml:space="preserve">“complication”</w:t>
      </w:r>
      <w:r>
        <w:t xml:space="preserve"> </w:t>
      </w:r>
      <w:r>
        <w:t xml:space="preserve">in their title/abstract. The preliminary PubMed search with #1 AND #2 yielded 162 hits, which remains manageable for manual screening. Block #3 is retained below for documentation purposes only and is NOT used in the final combination.</w:t>
      </w:r>
    </w:p>
    <w:p>
      <w:r>
        <w:pict>
          <v:rect style="width:0;height:1.5pt" o:hralign="center" o:hrstd="t" o:hr="t"/>
        </w:pict>
      </w:r>
    </w:p>
    <w:bookmarkEnd w:id="11"/>
    <w:bookmarkStart w:id="17" w:name="pubmed-via-pubmed.gov-or-e-utilities"/>
    <w:p>
      <w:pPr>
        <w:pStyle w:val="Heading2"/>
      </w:pPr>
      <w:r>
        <w:t xml:space="preserve">1. PubMed (via PubMed.gov or E-utilities)</w:t>
      </w:r>
    </w:p>
    <w:bookmarkStart w:id="12" w:name="search-date-2026-04-06"/>
    <w:p>
      <w:pPr>
        <w:pStyle w:val="Heading3"/>
      </w:pPr>
      <w:r>
        <w:t xml:space="preserve">Search date: 2026-04-06</w:t>
      </w:r>
    </w:p>
    <w:bookmarkEnd w:id="12"/>
    <w:bookmarkStart w:id="13" w:name="Xd5acc9725d248bfd33af78ef68b8271ddce2dc8"/>
    <w:p>
      <w:pPr>
        <w:pStyle w:val="Heading3"/>
      </w:pPr>
      <w:r>
        <w:t xml:space="preserve">Result count: 224 (Block #1 AND #2, no Block #3)</w:t>
      </w:r>
    </w:p>
    <w:bookmarkEnd w:id="13"/>
    <w:bookmarkStart w:id="14" w:name="Xbf5a0bcc7de7841ed3f543f4546efc152b0e799"/>
    <w:p>
      <w:pPr>
        <w:pStyle w:val="Heading3"/>
      </w:pPr>
      <w:r>
        <w:t xml:space="preserve">Sensitivity check: 6 of 6 known PMIDs captured</w:t>
      </w:r>
    </w:p>
    <w:p>
      <w:pPr>
        <w:pStyle w:val="SourceCode"/>
      </w:pPr>
      <w:r>
        <w:rPr>
          <w:rStyle w:val="VerbatimChar"/>
        </w:rPr>
        <w:t xml:space="preserve">#1  "Cone-Beam Computed Tomography"[MeSH Terms]</w:t>
      </w:r>
      <w:r>
        <w:br/>
      </w:r>
      <w:r>
        <w:rPr>
          <w:rStyle w:val="VerbatimChar"/>
        </w:rPr>
        <w:t xml:space="preserve">#2  "cone-beam computed tomography"[Title/Abstract]</w:t>
      </w:r>
      <w:r>
        <w:br/>
      </w:r>
      <w:r>
        <w:rPr>
          <w:rStyle w:val="VerbatimChar"/>
        </w:rPr>
        <w:t xml:space="preserve">#3  "cone-beam CT"[Title/Abstract]</w:t>
      </w:r>
      <w:r>
        <w:br/>
      </w:r>
      <w:r>
        <w:rPr>
          <w:rStyle w:val="VerbatimChar"/>
        </w:rPr>
        <w:t xml:space="preserve">#4  "cone beam CT"[Title/Abstract]</w:t>
      </w:r>
      <w:r>
        <w:br/>
      </w:r>
      <w:r>
        <w:rPr>
          <w:rStyle w:val="VerbatimChar"/>
        </w:rPr>
        <w:t xml:space="preserve">#5  "CBCT"[Title/Abstract]</w:t>
      </w:r>
      <w:r>
        <w:br/>
      </w:r>
      <w:r>
        <w:rPr>
          <w:rStyle w:val="VerbatimChar"/>
        </w:rPr>
        <w:t xml:space="preserve">#6  "C-arm CT"[Title/Abstract]</w:t>
      </w:r>
      <w:r>
        <w:br/>
      </w:r>
      <w:r>
        <w:rPr>
          <w:rStyle w:val="VerbatimChar"/>
        </w:rPr>
        <w:t xml:space="preserve">#7  "C-arm cone-beam"[Title/Abstract]</w:t>
      </w:r>
      <w:r>
        <w:br/>
      </w:r>
      <w:r>
        <w:rPr>
          <w:rStyle w:val="VerbatimChar"/>
        </w:rPr>
        <w:t xml:space="preserve">#8  "C-arm cone beam"[Title/Abstract]</w:t>
      </w:r>
      <w:r>
        <w:br/>
      </w:r>
      <w:r>
        <w:rPr>
          <w:rStyle w:val="VerbatimChar"/>
        </w:rPr>
        <w:t xml:space="preserve">#9  "flat-panel detector CT"[Title/Abstract]</w:t>
      </w:r>
      <w:r>
        <w:br/>
      </w:r>
      <w:r>
        <w:rPr>
          <w:rStyle w:val="VerbatimChar"/>
        </w:rPr>
        <w:t xml:space="preserve">#10 "flat-panel CT"[Title/Abstract]</w:t>
      </w:r>
      <w:r>
        <w:br/>
      </w:r>
      <w:r>
        <w:rPr>
          <w:rStyle w:val="VerbatimChar"/>
        </w:rPr>
        <w:t xml:space="preserve">#11 "flat panel detector"[Title/Abstract]</w:t>
      </w:r>
      <w:r>
        <w:br/>
      </w:r>
      <w:r>
        <w:rPr>
          <w:rStyle w:val="VerbatimChar"/>
        </w:rPr>
        <w:t xml:space="preserve">#12 "angiographic CT"[Title/Abstract]</w:t>
      </w:r>
      <w:r>
        <w:br/>
      </w:r>
      <w:r>
        <w:rPr>
          <w:rStyle w:val="VerbatimChar"/>
        </w:rPr>
        <w:t xml:space="preserve">#13 "rotational angiography"[Title/Abstract]</w:t>
      </w:r>
      <w:r>
        <w:br/>
      </w:r>
      <w:r>
        <w:rPr>
          <w:rStyle w:val="VerbatimChar"/>
        </w:rPr>
        <w:t xml:space="preserve">#14 "DynaCT"[Title/Abstract]</w:t>
      </w:r>
      <w:r>
        <w:br/>
      </w:r>
      <w:r>
        <w:rPr>
          <w:rStyle w:val="VerbatimChar"/>
        </w:rPr>
        <w:t xml:space="preserve">#15 "syngo DynaCT"[Title/Abstract]</w:t>
      </w:r>
      <w:r>
        <w:br/>
      </w:r>
      <w:r>
        <w:rPr>
          <w:rStyle w:val="VerbatimChar"/>
        </w:rPr>
        <w:t xml:space="preserve">#16 "XperCT"[Title/Abstract]</w:t>
      </w:r>
      <w:r>
        <w:br/>
      </w:r>
      <w:r>
        <w:rPr>
          <w:rStyle w:val="VerbatimChar"/>
        </w:rPr>
        <w:t xml:space="preserve">#17 "Innova CT"[Title/Abstract]</w:t>
      </w:r>
      <w:r>
        <w:br/>
      </w:r>
      <w:r>
        <w:rPr>
          <w:rStyle w:val="VerbatimChar"/>
        </w:rPr>
        <w:t xml:space="preserve">#18 "Allura 3D-RA"[Title/Abstract]</w:t>
      </w:r>
      <w:r>
        <w:br/>
      </w:r>
      <w:r>
        <w:rPr>
          <w:rStyle w:val="VerbatimChar"/>
        </w:rPr>
        <w:t xml:space="preserve">#19 #1 OR #2 OR #3 OR #4 OR #5 OR #6 OR #7 OR #8 OR #9 OR #10 OR #11 OR #12 OR #13 OR #14 OR #15 OR #16 OR #17 OR #18</w:t>
      </w:r>
      <w:r>
        <w:br/>
      </w:r>
      <w:r>
        <w:br/>
      </w:r>
      <w:r>
        <w:rPr>
          <w:rStyle w:val="VerbatimChar"/>
        </w:rPr>
        <w:t xml:space="preserve">#20 "Biopsy, Needle"[MeSH Terms]</w:t>
      </w:r>
      <w:r>
        <w:br/>
      </w:r>
      <w:r>
        <w:rPr>
          <w:rStyle w:val="VerbatimChar"/>
        </w:rPr>
        <w:t xml:space="preserve">#21 "Image-Guided Biopsy"[MeSH Terms]</w:t>
      </w:r>
      <w:r>
        <w:br/>
      </w:r>
      <w:r>
        <w:rPr>
          <w:rStyle w:val="VerbatimChar"/>
        </w:rPr>
        <w:t xml:space="preserve">#22 "Biopsy, Fine-Needle"[MeSH Terms]</w:t>
      </w:r>
      <w:r>
        <w:br/>
      </w:r>
      <w:r>
        <w:rPr>
          <w:rStyle w:val="VerbatimChar"/>
        </w:rPr>
        <w:t xml:space="preserve">#23 "lung biopsy"[Title/Abstract]</w:t>
      </w:r>
      <w:r>
        <w:br/>
      </w:r>
      <w:r>
        <w:rPr>
          <w:rStyle w:val="VerbatimChar"/>
        </w:rPr>
        <w:t xml:space="preserve">#24 "pulmonary biopsy"[Title/Abstract]</w:t>
      </w:r>
      <w:r>
        <w:br/>
      </w:r>
      <w:r>
        <w:rPr>
          <w:rStyle w:val="VerbatimChar"/>
        </w:rPr>
        <w:t xml:space="preserve">#25 "transthoracic needle biopsy"[Title/Abstract]</w:t>
      </w:r>
      <w:r>
        <w:br/>
      </w:r>
      <w:r>
        <w:rPr>
          <w:rStyle w:val="VerbatimChar"/>
        </w:rPr>
        <w:t xml:space="preserve">#26 "transthoracic biopsy"[Title/Abstract]</w:t>
      </w:r>
      <w:r>
        <w:br/>
      </w:r>
      <w:r>
        <w:rPr>
          <w:rStyle w:val="VerbatimChar"/>
        </w:rPr>
        <w:t xml:space="preserve">#27 "percutaneous lung biopsy"[Title/Abstract]</w:t>
      </w:r>
      <w:r>
        <w:br/>
      </w:r>
      <w:r>
        <w:rPr>
          <w:rStyle w:val="VerbatimChar"/>
        </w:rPr>
        <w:t xml:space="preserve">#28 "percutaneous pulmonary biopsy"[Title/Abstract]</w:t>
      </w:r>
      <w:r>
        <w:br/>
      </w:r>
      <w:r>
        <w:rPr>
          <w:rStyle w:val="VerbatimChar"/>
        </w:rPr>
        <w:t xml:space="preserve">#29 "percutaneous needle biopsy"[Title/Abstract]</w:t>
      </w:r>
      <w:r>
        <w:br/>
      </w:r>
      <w:r>
        <w:rPr>
          <w:rStyle w:val="VerbatimChar"/>
        </w:rPr>
        <w:t xml:space="preserve">#30 "percutaneous transthoracic"[Title/Abstract]</w:t>
      </w:r>
      <w:r>
        <w:br/>
      </w:r>
      <w:r>
        <w:rPr>
          <w:rStyle w:val="VerbatimChar"/>
        </w:rPr>
        <w:t xml:space="preserve">#31 "PTNB"[Title/Abstract]</w:t>
      </w:r>
      <w:r>
        <w:br/>
      </w:r>
      <w:r>
        <w:rPr>
          <w:rStyle w:val="VerbatimChar"/>
        </w:rPr>
        <w:t xml:space="preserve">#32 "core needle biopsy"[Title/Abstract] AND ("lung"[Title/Abstract] OR "pulmonary"[Title/Abstract])</w:t>
      </w:r>
      <w:r>
        <w:br/>
      </w:r>
      <w:r>
        <w:rPr>
          <w:rStyle w:val="VerbatimChar"/>
        </w:rPr>
        <w:t xml:space="preserve">#33 "fine needle aspiration"[Title/Abstract] AND ("lung"[Title/Abstract] OR "pulmonary"[Title/Abstract])</w:t>
      </w:r>
      <w:r>
        <w:br/>
      </w:r>
      <w:r>
        <w:rPr>
          <w:rStyle w:val="VerbatimChar"/>
        </w:rPr>
        <w:t xml:space="preserve">#34 "Lung Neoplasms"[MeSH Terms] AND "Biopsy"[MeSH Terms]</w:t>
      </w:r>
      <w:r>
        <w:br/>
      </w:r>
      <w:r>
        <w:rPr>
          <w:rStyle w:val="VerbatimChar"/>
        </w:rPr>
        <w:t xml:space="preserve">#35 "Solitary Pulmonary Nodule"[MeSH Terms] AND "Biopsy"[MeSH Terms]</w:t>
      </w:r>
      <w:r>
        <w:br/>
      </w:r>
      <w:r>
        <w:rPr>
          <w:rStyle w:val="VerbatimChar"/>
        </w:rPr>
        <w:t xml:space="preserve">#36 ("lung nodule"[Title/Abstract] OR "lung nodules"[Title/Abstract] OR "pulmonary nodule"[Title/Abstract] OR "pulmonary nodules"[Title/Abstract]) AND ("biopsy"[Title/Abstract] OR "needle"[Title/Abstract])</w:t>
      </w:r>
      <w:r>
        <w:br/>
      </w:r>
      <w:r>
        <w:rPr>
          <w:rStyle w:val="VerbatimChar"/>
        </w:rPr>
        <w:t xml:space="preserve">#37 #20 OR #21 OR #22 OR #23 OR #24 OR #25 OR #26 OR #27 OR #28 OR #29 OR #30 OR #31 OR #32 OR #33 OR #34 OR #35 OR #36</w:t>
      </w:r>
      <w:r>
        <w:br/>
      </w:r>
      <w:r>
        <w:br/>
      </w:r>
      <w:r>
        <w:rPr>
          <w:rStyle w:val="VerbatimChar"/>
        </w:rPr>
        <w:t xml:space="preserve">#38 "Sensitivity and Specificity"[MeSH Terms]</w:t>
      </w:r>
      <w:r>
        <w:br/>
      </w:r>
      <w:r>
        <w:rPr>
          <w:rStyle w:val="VerbatimChar"/>
        </w:rPr>
        <w:t xml:space="preserve">#39 "Diagnostic Accuracy"[Title/Abstract]</w:t>
      </w:r>
      <w:r>
        <w:br/>
      </w:r>
      <w:r>
        <w:rPr>
          <w:rStyle w:val="VerbatimChar"/>
        </w:rPr>
        <w:t xml:space="preserve">#40 "diagnostic yield"[Title/Abstract]</w:t>
      </w:r>
      <w:r>
        <w:br/>
      </w:r>
      <w:r>
        <w:rPr>
          <w:rStyle w:val="VerbatimChar"/>
        </w:rPr>
        <w:t xml:space="preserve">#41 "sensitivity"[Title/Abstract]</w:t>
      </w:r>
      <w:r>
        <w:br/>
      </w:r>
      <w:r>
        <w:rPr>
          <w:rStyle w:val="VerbatimChar"/>
        </w:rPr>
        <w:t xml:space="preserve">#42 "specificity"[Title/Abstract]</w:t>
      </w:r>
      <w:r>
        <w:br/>
      </w:r>
      <w:r>
        <w:rPr>
          <w:rStyle w:val="VerbatimChar"/>
        </w:rPr>
        <w:t xml:space="preserve">#43 "accuracy"[Title/Abstract]</w:t>
      </w:r>
      <w:r>
        <w:br/>
      </w:r>
      <w:r>
        <w:rPr>
          <w:rStyle w:val="VerbatimChar"/>
        </w:rPr>
        <w:t xml:space="preserve">#44 "Pneumothorax"[MeSH Terms]</w:t>
      </w:r>
      <w:r>
        <w:br/>
      </w:r>
      <w:r>
        <w:rPr>
          <w:rStyle w:val="VerbatimChar"/>
        </w:rPr>
        <w:t xml:space="preserve">#45 "pneumothorax"[Title/Abstract]</w:t>
      </w:r>
      <w:r>
        <w:br/>
      </w:r>
      <w:r>
        <w:rPr>
          <w:rStyle w:val="VerbatimChar"/>
        </w:rPr>
        <w:t xml:space="preserve">#46 "hemorrhage"[Title/Abstract]</w:t>
      </w:r>
      <w:r>
        <w:br/>
      </w:r>
      <w:r>
        <w:rPr>
          <w:rStyle w:val="VerbatimChar"/>
        </w:rPr>
        <w:t xml:space="preserve">#47 "haemorrhage"[Title/Abstract]</w:t>
      </w:r>
      <w:r>
        <w:br/>
      </w:r>
      <w:r>
        <w:rPr>
          <w:rStyle w:val="VerbatimChar"/>
        </w:rPr>
        <w:t xml:space="preserve">#48 "complication"[Title/Abstract] OR "complications"[Title/Abstract]</w:t>
      </w:r>
      <w:r>
        <w:br/>
      </w:r>
      <w:r>
        <w:rPr>
          <w:rStyle w:val="VerbatimChar"/>
        </w:rPr>
        <w:t xml:space="preserve">#49 "safety"[Title/Abstract]</w:t>
      </w:r>
      <w:r>
        <w:br/>
      </w:r>
      <w:r>
        <w:rPr>
          <w:rStyle w:val="VerbatimChar"/>
        </w:rPr>
        <w:t xml:space="preserve">#50 "adequacy"[Title/Abstract]</w:t>
      </w:r>
      <w:r>
        <w:br/>
      </w:r>
      <w:r>
        <w:rPr>
          <w:rStyle w:val="VerbatimChar"/>
        </w:rPr>
        <w:t xml:space="preserve">#51 "inadequate"[Title/Abstract]</w:t>
      </w:r>
      <w:r>
        <w:br/>
      </w:r>
      <w:r>
        <w:rPr>
          <w:rStyle w:val="VerbatimChar"/>
        </w:rPr>
        <w:t xml:space="preserve">#52 #38 OR #39 OR #40 OR #41 OR #42 OR #43 OR #44 OR #45 OR #46 OR #47 OR #48 OR #49 OR #50 OR #51</w:t>
      </w:r>
      <w:r>
        <w:br/>
      </w:r>
      <w:r>
        <w:br/>
      </w:r>
      <w:r>
        <w:rPr>
          <w:rStyle w:val="VerbatimChar"/>
        </w:rPr>
        <w:t xml:space="preserve">#53 #19 AND #37          [FINAL: Block #1 AND Block #2 — Block #3 NOT used per Cochrane DTA Handbook]</w:t>
      </w:r>
      <w:r>
        <w:br/>
      </w:r>
      <w:r>
        <w:rPr>
          <w:rStyle w:val="VerbatimChar"/>
        </w:rPr>
        <w:t xml:space="preserve">#54 #19 AND #37 AND #52   [NOT USED — documented for reference only]</w:t>
      </w:r>
    </w:p>
    <w:bookmarkEnd w:id="14"/>
    <w:bookmarkStart w:id="15" w:name="X3c23c0bc109c2eecd826949c6ceabd47a141ced"/>
    <w:p>
      <w:pPr>
        <w:pStyle w:val="Heading3"/>
      </w:pPr>
      <w:r>
        <w:t xml:space="preserve">Copy-paste single-line version (PubMed Advanced Search) — Block #1 AND #2 ONLY:</w:t>
      </w:r>
    </w:p>
    <w:p>
      <w:pPr>
        <w:pStyle w:val="SourceCode"/>
      </w:pPr>
      <w:r>
        <w:rPr>
          <w:rStyle w:val="VerbatimChar"/>
        </w:rPr>
        <w:t xml:space="preserve">(("Cone-Beam Computed Tomography"[MeSH Terms]) OR ("cone-beam computed tomography"[Title/Abstract]) OR ("cone-beam CT"[Title/Abstract]) OR ("cone beam CT"[Title/Abstract]) OR ("CBCT"[Title/Abstract]) OR ("C-arm CT"[Title/Abstract]) OR ("C-arm cone-beam"[Title/Abstract]) OR ("C-arm cone beam"[Title/Abstract]) OR ("flat-panel detector CT"[Title/Abstract]) OR ("flat-panel CT"[Title/Abstract]) OR ("flat panel detector"[Title/Abstract]) OR ("angiographic CT"[Title/Abstract]) OR ("rotational angiography"[Title/Abstract]) OR ("DynaCT"[Title/Abstract]) OR ("syngo DynaCT"[Title/Abstract]) OR ("XperCT"[Title/Abstract]) OR ("Innova CT"[Title/Abstract]) OR ("Allura 3D-RA"[Title/Abstract])) AND (("Biopsy, Needle"[MeSH Terms]) OR ("Image-Guided Biopsy"[MeSH Terms]) OR ("Biopsy, Fine-Needle"[MeSH Terms]) OR ("lung biopsy"[Title/Abstract]) OR ("pulmonary biopsy"[Title/Abstract]) OR ("transthoracic needle biopsy"[Title/Abstract]) OR ("transthoracic biopsy"[Title/Abstract]) OR ("percutaneous lung biopsy"[Title/Abstract]) OR ("percutaneous pulmonary biopsy"[Title/Abstract]) OR ("percutaneous needle biopsy"[Title/Abstract]) OR ("percutaneous transthoracic"[Title/Abstract]) OR ("PTNB"[Title/Abstract]) OR (("core needle biopsy"[Title/Abstract]) AND ("lung"[Title/Abstract] OR "pulmonary"[Title/Abstract])) OR (("fine needle aspiration"[Title/Abstract]) AND ("lung"[Title/Abstract] OR "pulmonary"[Title/Abstract])) OR (("Lung Neoplasms"[MeSH Terms]) AND ("Biopsy"[MeSH Terms])) OR (("Solitary Pulmonary Nodule"[MeSH Terms]) AND ("Biopsy"[MeSH Terms])) OR ((("lung nodule"[Title/Abstract] OR "lung nodules"[Title/Abstract] OR "pulmonary nodule"[Title/Abstract] OR "pulmonary nodules"[Title/Abstract]) AND ("biopsy"[Title/Abstract] OR "needle"[Title/Abstract]))))</w:t>
      </w:r>
    </w:p>
    <w:bookmarkEnd w:id="15"/>
    <w:bookmarkStart w:id="16" w:name="boolean-logic"/>
    <w:p>
      <w:pPr>
        <w:pStyle w:val="Heading3"/>
      </w:pPr>
      <w:r>
        <w:t xml:space="preserve">Boolean Logic</w:t>
      </w:r>
    </w:p>
    <w:p>
      <w:pPr>
        <w:pStyle w:val="Compact"/>
        <w:numPr>
          <w:ilvl w:val="0"/>
          <w:numId w:val="1003"/>
        </w:numPr>
      </w:pPr>
      <w:r>
        <w:rPr>
          <w:b/>
          <w:bCs/>
        </w:rPr>
        <w:t xml:space="preserve">Block #1 (CBCT)</w:t>
      </w:r>
      <w:r>
        <w:t xml:space="preserve">: MeSH</w:t>
      </w:r>
      <w:r>
        <w:t xml:space="preserve"> </w:t>
      </w:r>
      <w:r>
        <w:rPr>
          <w:rStyle w:val="VerbatimChar"/>
        </w:rPr>
        <w:t xml:space="preserve">Cone-Beam Computed Tomography</w:t>
      </w:r>
      <w:r>
        <w:t xml:space="preserve"> </w:t>
      </w:r>
      <w:r>
        <w:t xml:space="preserve">captures indexed articles. Free-text terms cover unindexed variants: abbreviations (CBCT), hardware descriptions (C-arm CT, flat-panel detector CT), functional descriptions (angiographic CT, rotational angiography), and trade names (DynaCT, syngo DynaCT, XperCT, Innova CT, Allura 3D-RA).</w:t>
      </w:r>
    </w:p>
    <w:p>
      <w:pPr>
        <w:pStyle w:val="Compact"/>
        <w:numPr>
          <w:ilvl w:val="0"/>
          <w:numId w:val="1003"/>
        </w:numPr>
      </w:pPr>
      <w:r>
        <w:rPr>
          <w:b/>
          <w:bCs/>
        </w:rPr>
        <w:t xml:space="preserve">Block #2 (Lung biopsy + target condition)</w:t>
      </w:r>
      <w:r>
        <w:t xml:space="preserve">: MeSH</w:t>
      </w:r>
      <w:r>
        <w:t xml:space="preserve"> </w:t>
      </w:r>
      <w:r>
        <w:rPr>
          <w:rStyle w:val="VerbatimChar"/>
        </w:rPr>
        <w:t xml:space="preserve">Biopsy, Needle</w:t>
      </w:r>
      <w:r>
        <w:t xml:space="preserve"> </w:t>
      </w:r>
      <w:r>
        <w:t xml:space="preserve">+</w:t>
      </w:r>
      <w:r>
        <w:t xml:space="preserve"> </w:t>
      </w:r>
      <w:r>
        <w:rPr>
          <w:rStyle w:val="VerbatimChar"/>
        </w:rPr>
        <w:t xml:space="preserve">Image-Guided Biopsy</w:t>
      </w:r>
      <w:r>
        <w:t xml:space="preserve"> </w:t>
      </w:r>
      <w:r>
        <w:t xml:space="preserve">+</w:t>
      </w:r>
      <w:r>
        <w:t xml:space="preserve"> </w:t>
      </w:r>
      <w:r>
        <w:rPr>
          <w:rStyle w:val="VerbatimChar"/>
        </w:rPr>
        <w:t xml:space="preserve">Biopsy, Fine-Needle</w:t>
      </w:r>
      <w:r>
        <w:t xml:space="preserve"> </w:t>
      </w:r>
      <w:r>
        <w:t xml:space="preserve">capture indexed biopsy articles. Free-text covers percutaneous transthoracic variations, abbreviations (PTNB), and specific needle types (core needle, FNA) limited to lung/pulmonary context. Target condition terms added:</w:t>
      </w:r>
      <w:r>
        <w:t xml:space="preserve"> </w:t>
      </w:r>
      <w:r>
        <w:rPr>
          <w:rStyle w:val="VerbatimChar"/>
        </w:rPr>
        <w:t xml:space="preserve">Lung Neoplasms</w:t>
      </w:r>
      <w:r>
        <w:t xml:space="preserve">[MeSH] AND</w:t>
      </w:r>
      <w:r>
        <w:t xml:space="preserve"> </w:t>
      </w:r>
      <w:r>
        <w:rPr>
          <w:rStyle w:val="VerbatimChar"/>
        </w:rPr>
        <w:t xml:space="preserve">Biopsy</w:t>
      </w:r>
      <w:r>
        <w:t xml:space="preserve">[MeSH],</w:t>
      </w:r>
      <w:r>
        <w:t xml:space="preserve"> </w:t>
      </w:r>
      <w:r>
        <w:rPr>
          <w:rStyle w:val="VerbatimChar"/>
        </w:rPr>
        <w:t xml:space="preserve">Solitary Pulmonary Nodule</w:t>
      </w:r>
      <w:r>
        <w:t xml:space="preserve">[MeSH] AND</w:t>
      </w:r>
      <w:r>
        <w:t xml:space="preserve"> </w:t>
      </w:r>
      <w:r>
        <w:rPr>
          <w:rStyle w:val="VerbatimChar"/>
        </w:rPr>
        <w:t xml:space="preserve">Biopsy</w:t>
      </w:r>
      <w:r>
        <w:t xml:space="preserve">[MeSH], and lung nodule free-text with biopsy/needle qualifier — these capture studies indexed primarily under the target condition rather than the procedure. Bronchoscopy terms are intentionally excluded.</w:t>
      </w:r>
    </w:p>
    <w:p>
      <w:pPr>
        <w:pStyle w:val="Compact"/>
        <w:numPr>
          <w:ilvl w:val="0"/>
          <w:numId w:val="1003"/>
        </w:numPr>
      </w:pPr>
      <w:r>
        <w:rPr>
          <w:b/>
          <w:bCs/>
        </w:rPr>
        <w:t xml:space="preserve">Block #3 (Outcomes — NOT USED)</w:t>
      </w:r>
      <w:r>
        <w:t xml:space="preserve">: Documented for reference only. Per Cochrane DTA Handbook Chapter 7.2, diagnostic accuracy/methodology filters should not be applied in DTA systematic review searches.</w:t>
      </w:r>
    </w:p>
    <w:p>
      <w:pPr>
        <w:pStyle w:val="Compact"/>
        <w:numPr>
          <w:ilvl w:val="0"/>
          <w:numId w:val="1003"/>
        </w:numPr>
      </w:pPr>
      <w:r>
        <w:rPr>
          <w:b/>
          <w:bCs/>
        </w:rPr>
        <w:t xml:space="preserve">Combination</w:t>
      </w:r>
      <w:r>
        <w:t xml:space="preserve">: #1 AND #2 only — Block #3 intentionally omitted to maximize sensitivity.</w:t>
      </w:r>
    </w:p>
    <w:p>
      <w:r>
        <w:pict>
          <v:rect style="width:0;height:1.5pt" o:hralign="center" o:hrstd="t" o:hr="t"/>
        </w:pict>
      </w:r>
    </w:p>
    <w:bookmarkEnd w:id="16"/>
    <w:bookmarkEnd w:id="17"/>
    <w:bookmarkStart w:id="21" w:name="embase-via-ovid"/>
    <w:p>
      <w:pPr>
        <w:pStyle w:val="Heading2"/>
      </w:pPr>
      <w:r>
        <w:t xml:space="preserve">2. Embase (via Ovid)</w:t>
      </w:r>
    </w:p>
    <w:bookmarkStart w:id="18" w:name="search-date-2026-04-06-1"/>
    <w:p>
      <w:pPr>
        <w:pStyle w:val="Heading3"/>
      </w:pPr>
      <w:r>
        <w:t xml:space="preserve">Search date: 2026-04-06</w:t>
      </w:r>
    </w:p>
    <w:bookmarkEnd w:id="18"/>
    <w:bookmarkStart w:id="19" w:name="Xc5744cf268b8fa6b12f0f4a2f4076d93cafc91d"/>
    <w:p>
      <w:pPr>
        <w:pStyle w:val="Heading3"/>
      </w:pPr>
      <w:r>
        <w:t xml:space="preserve">Result count: 826 (with [embase]/lim, no Block #3)</w:t>
      </w:r>
    </w:p>
    <w:p>
      <w:pPr>
        <w:pStyle w:val="SourceCode"/>
      </w:pPr>
      <w:r>
        <w:rPr>
          <w:rStyle w:val="VerbatimChar"/>
        </w:rPr>
        <w:t xml:space="preserve">1   exp cone beam computed tomography/</w:t>
      </w:r>
      <w:r>
        <w:br/>
      </w:r>
      <w:r>
        <w:rPr>
          <w:rStyle w:val="VerbatimChar"/>
        </w:rPr>
        <w:t xml:space="preserve">2   "cone-beam computed tomography".tw.</w:t>
      </w:r>
      <w:r>
        <w:br/>
      </w:r>
      <w:r>
        <w:rPr>
          <w:rStyle w:val="VerbatimChar"/>
        </w:rPr>
        <w:t xml:space="preserve">3   "cone-beam CT".tw.</w:t>
      </w:r>
      <w:r>
        <w:br/>
      </w:r>
      <w:r>
        <w:rPr>
          <w:rStyle w:val="VerbatimChar"/>
        </w:rPr>
        <w:t xml:space="preserve">4   "cone beam CT".tw.</w:t>
      </w:r>
      <w:r>
        <w:br/>
      </w:r>
      <w:r>
        <w:rPr>
          <w:rStyle w:val="VerbatimChar"/>
        </w:rPr>
        <w:t xml:space="preserve">5   CBCT.tw.</w:t>
      </w:r>
      <w:r>
        <w:br/>
      </w:r>
      <w:r>
        <w:rPr>
          <w:rStyle w:val="VerbatimChar"/>
        </w:rPr>
        <w:t xml:space="preserve">6   "C-arm CT".tw.</w:t>
      </w:r>
      <w:r>
        <w:br/>
      </w:r>
      <w:r>
        <w:rPr>
          <w:rStyle w:val="VerbatimChar"/>
        </w:rPr>
        <w:t xml:space="preserve">7   "C-arm cone-beam".tw.</w:t>
      </w:r>
      <w:r>
        <w:br/>
      </w:r>
      <w:r>
        <w:rPr>
          <w:rStyle w:val="VerbatimChar"/>
        </w:rPr>
        <w:t xml:space="preserve">8   "C-arm cone beam".tw.</w:t>
      </w:r>
      <w:r>
        <w:br/>
      </w:r>
      <w:r>
        <w:rPr>
          <w:rStyle w:val="VerbatimChar"/>
        </w:rPr>
        <w:t xml:space="preserve">9   "flat-panel detector CT".tw.</w:t>
      </w:r>
      <w:r>
        <w:br/>
      </w:r>
      <w:r>
        <w:rPr>
          <w:rStyle w:val="VerbatimChar"/>
        </w:rPr>
        <w:t xml:space="preserve">10  "flat-panel CT".tw.</w:t>
      </w:r>
      <w:r>
        <w:br/>
      </w:r>
      <w:r>
        <w:rPr>
          <w:rStyle w:val="VerbatimChar"/>
        </w:rPr>
        <w:t xml:space="preserve">11  "flat panel detector".tw.</w:t>
      </w:r>
      <w:r>
        <w:br/>
      </w:r>
      <w:r>
        <w:rPr>
          <w:rStyle w:val="VerbatimChar"/>
        </w:rPr>
        <w:t xml:space="preserve">12  angiographic CT.tw.</w:t>
      </w:r>
      <w:r>
        <w:br/>
      </w:r>
      <w:r>
        <w:rPr>
          <w:rStyle w:val="VerbatimChar"/>
        </w:rPr>
        <w:t xml:space="preserve">13  rotational angiography.tw.</w:t>
      </w:r>
      <w:r>
        <w:br/>
      </w:r>
      <w:r>
        <w:rPr>
          <w:rStyle w:val="VerbatimChar"/>
        </w:rPr>
        <w:t xml:space="preserve">14  DynaCT.tw.</w:t>
      </w:r>
      <w:r>
        <w:br/>
      </w:r>
      <w:r>
        <w:rPr>
          <w:rStyle w:val="VerbatimChar"/>
        </w:rPr>
        <w:t xml:space="preserve">15  "syngo DynaCT".tw.</w:t>
      </w:r>
      <w:r>
        <w:br/>
      </w:r>
      <w:r>
        <w:rPr>
          <w:rStyle w:val="VerbatimChar"/>
        </w:rPr>
        <w:t xml:space="preserve">16  XperCT.tw.</w:t>
      </w:r>
      <w:r>
        <w:br/>
      </w:r>
      <w:r>
        <w:rPr>
          <w:rStyle w:val="VerbatimChar"/>
        </w:rPr>
        <w:t xml:space="preserve">17  "Innova CT".tw.</w:t>
      </w:r>
      <w:r>
        <w:br/>
      </w:r>
      <w:r>
        <w:rPr>
          <w:rStyle w:val="VerbatimChar"/>
        </w:rPr>
        <w:t xml:space="preserve">18  "Allura 3D-RA".tw.</w:t>
      </w:r>
      <w:r>
        <w:br/>
      </w:r>
      <w:r>
        <w:rPr>
          <w:rStyle w:val="VerbatimChar"/>
        </w:rPr>
        <w:t xml:space="preserve">19  1 or 2 or 3 or 4 or 5 or 6 or 7 or 8 or 9 or 10 or 11 or 12 or 13 or 14 or 15 or 16 or 17 or 18</w:t>
      </w:r>
      <w:r>
        <w:br/>
      </w:r>
      <w:r>
        <w:br/>
      </w:r>
      <w:r>
        <w:rPr>
          <w:rStyle w:val="VerbatimChar"/>
        </w:rPr>
        <w:t xml:space="preserve">20  exp lung biopsy/</w:t>
      </w:r>
      <w:r>
        <w:br/>
      </w:r>
      <w:r>
        <w:rPr>
          <w:rStyle w:val="VerbatimChar"/>
        </w:rPr>
        <w:t xml:space="preserve">21  exp needle biopsy/</w:t>
      </w:r>
      <w:r>
        <w:br/>
      </w:r>
      <w:r>
        <w:rPr>
          <w:rStyle w:val="VerbatimChar"/>
        </w:rPr>
        <w:t xml:space="preserve">22  exp percutaneous biopsy/</w:t>
      </w:r>
      <w:r>
        <w:br/>
      </w:r>
      <w:r>
        <w:rPr>
          <w:rStyle w:val="VerbatimChar"/>
        </w:rPr>
        <w:t xml:space="preserve">23  exp image guided biopsy/</w:t>
      </w:r>
      <w:r>
        <w:br/>
      </w:r>
      <w:r>
        <w:rPr>
          <w:rStyle w:val="VerbatimChar"/>
        </w:rPr>
        <w:t xml:space="preserve">24  exp fine needle aspiration biopsy/</w:t>
      </w:r>
      <w:r>
        <w:br/>
      </w:r>
      <w:r>
        <w:rPr>
          <w:rStyle w:val="VerbatimChar"/>
        </w:rPr>
        <w:t xml:space="preserve">25  lung biopsy.tw.</w:t>
      </w:r>
      <w:r>
        <w:br/>
      </w:r>
      <w:r>
        <w:rPr>
          <w:rStyle w:val="VerbatimChar"/>
        </w:rPr>
        <w:t xml:space="preserve">26  pulmonary biopsy.tw.</w:t>
      </w:r>
      <w:r>
        <w:br/>
      </w:r>
      <w:r>
        <w:rPr>
          <w:rStyle w:val="VerbatimChar"/>
        </w:rPr>
        <w:t xml:space="preserve">27  transthoracic needle biopsy.tw.</w:t>
      </w:r>
      <w:r>
        <w:br/>
      </w:r>
      <w:r>
        <w:rPr>
          <w:rStyle w:val="VerbatimChar"/>
        </w:rPr>
        <w:t xml:space="preserve">28  transthoracic biopsy.tw.</w:t>
      </w:r>
      <w:r>
        <w:br/>
      </w:r>
      <w:r>
        <w:rPr>
          <w:rStyle w:val="VerbatimChar"/>
        </w:rPr>
        <w:t xml:space="preserve">29  percutaneous lung biopsy.tw.</w:t>
      </w:r>
      <w:r>
        <w:br/>
      </w:r>
      <w:r>
        <w:rPr>
          <w:rStyle w:val="VerbatimChar"/>
        </w:rPr>
        <w:t xml:space="preserve">30  percutaneous pulmonary biopsy.tw.</w:t>
      </w:r>
      <w:r>
        <w:br/>
      </w:r>
      <w:r>
        <w:rPr>
          <w:rStyle w:val="VerbatimChar"/>
        </w:rPr>
        <w:t xml:space="preserve">31  percutaneous needle biopsy.tw.</w:t>
      </w:r>
      <w:r>
        <w:br/>
      </w:r>
      <w:r>
        <w:rPr>
          <w:rStyle w:val="VerbatimChar"/>
        </w:rPr>
        <w:t xml:space="preserve">32  percutaneous transthoracic.tw.</w:t>
      </w:r>
      <w:r>
        <w:br/>
      </w:r>
      <w:r>
        <w:rPr>
          <w:rStyle w:val="VerbatimChar"/>
        </w:rPr>
        <w:t xml:space="preserve">33  PTNB.tw.</w:t>
      </w:r>
      <w:r>
        <w:br/>
      </w:r>
      <w:r>
        <w:rPr>
          <w:rStyle w:val="VerbatimChar"/>
        </w:rPr>
        <w:t xml:space="preserve">34  (core needle biopsy and (lung or pulmonary)).tw.</w:t>
      </w:r>
      <w:r>
        <w:br/>
      </w:r>
      <w:r>
        <w:rPr>
          <w:rStyle w:val="VerbatimChar"/>
        </w:rPr>
        <w:t xml:space="preserve">35  (fine needle aspiration and (lung or pulmonary)).tw.</w:t>
      </w:r>
      <w:r>
        <w:br/>
      </w:r>
      <w:r>
        <w:rPr>
          <w:rStyle w:val="VerbatimChar"/>
        </w:rPr>
        <w:t xml:space="preserve">36  exp lung tumor/ and exp biopsy/</w:t>
      </w:r>
      <w:r>
        <w:br/>
      </w:r>
      <w:r>
        <w:rPr>
          <w:rStyle w:val="VerbatimChar"/>
        </w:rPr>
        <w:t xml:space="preserve">37  exp lung nodule/ and exp biopsy/</w:t>
      </w:r>
      <w:r>
        <w:br/>
      </w:r>
      <w:r>
        <w:rPr>
          <w:rStyle w:val="VerbatimChar"/>
        </w:rPr>
        <w:t xml:space="preserve">38  ((lung nodule* or pulmonary nodule*) and (biopsy or needle)).tw.</w:t>
      </w:r>
      <w:r>
        <w:br/>
      </w:r>
      <w:r>
        <w:rPr>
          <w:rStyle w:val="VerbatimChar"/>
        </w:rPr>
        <w:t xml:space="preserve">39  20 or 21 or 22 or 23 or 24 or 25 or 26 or 27 or 28 or 29 or 30 or 31 or 32 or 33 or 34 or 35 or 36 or 37 or 38</w:t>
      </w:r>
      <w:r>
        <w:br/>
      </w:r>
      <w:r>
        <w:br/>
      </w:r>
      <w:r>
        <w:rPr>
          <w:rStyle w:val="VerbatimChar"/>
        </w:rPr>
        <w:t xml:space="preserve">40  19 and 39          [FINAL: Block #1 AND Block #2 — Block #3 NOT used]</w:t>
      </w:r>
      <w:r>
        <w:br/>
      </w:r>
      <w:r>
        <w:rPr>
          <w:rStyle w:val="VerbatimChar"/>
        </w:rPr>
        <w:t xml:space="preserve">41  limit 40 to embase  [removes MEDLINE-only records to avoid PubMed duplicates]</w:t>
      </w:r>
    </w:p>
    <w:bookmarkEnd w:id="19"/>
    <w:bookmarkStart w:id="20" w:name="boolean-logic-1"/>
    <w:p>
      <w:pPr>
        <w:pStyle w:val="Heading3"/>
      </w:pPr>
      <w:r>
        <w:t xml:space="preserve">Boolean Logic</w:t>
      </w:r>
    </w:p>
    <w:p>
      <w:pPr>
        <w:pStyle w:val="Compact"/>
        <w:numPr>
          <w:ilvl w:val="0"/>
          <w:numId w:val="1004"/>
        </w:numPr>
      </w:pPr>
      <w:r>
        <w:rPr>
          <w:b/>
          <w:bCs/>
        </w:rPr>
        <w:t xml:space="preserve">Block #1 (lines 1-19)</w:t>
      </w:r>
      <w:r>
        <w:t xml:space="preserve">: Emtree heading</w:t>
      </w:r>
      <w:r>
        <w:t xml:space="preserve"> </w:t>
      </w:r>
      <w:r>
        <w:rPr>
          <w:rStyle w:val="VerbatimChar"/>
        </w:rPr>
        <w:t xml:space="preserve">cone beam computed tomography</w:t>
      </w:r>
      <w:r>
        <w:t xml:space="preserve"> </w:t>
      </w:r>
      <w:r>
        <w:t xml:space="preserve">(exploded) plus all free-text synonyms including trade names (DynaCT, syngo DynaCT, XperCT, Innova CT, Allura 3D-RA). The</w:t>
      </w:r>
      <w:r>
        <w:t xml:space="preserve"> </w:t>
      </w:r>
      <w:r>
        <w:rPr>
          <w:rStyle w:val="VerbatimChar"/>
        </w:rPr>
        <w:t xml:space="preserve">.tw.</w:t>
      </w:r>
      <w:r>
        <w:t xml:space="preserve"> </w:t>
      </w:r>
      <w:r>
        <w:t xml:space="preserve">field tag searches title, abstract, and original title.</w:t>
      </w:r>
    </w:p>
    <w:p>
      <w:pPr>
        <w:pStyle w:val="Compact"/>
        <w:numPr>
          <w:ilvl w:val="0"/>
          <w:numId w:val="1004"/>
        </w:numPr>
      </w:pPr>
      <w:r>
        <w:rPr>
          <w:b/>
          <w:bCs/>
        </w:rPr>
        <w:t xml:space="preserve">Block #2 (lines 20-39)</w:t>
      </w:r>
      <w:r>
        <w:t xml:space="preserve">: Emtree headings for</w:t>
      </w:r>
      <w:r>
        <w:t xml:space="preserve"> </w:t>
      </w:r>
      <w:r>
        <w:rPr>
          <w:rStyle w:val="VerbatimChar"/>
        </w:rPr>
        <w:t xml:space="preserve">lung biopsy</w:t>
      </w:r>
      <w:r>
        <w:t xml:space="preserve">,</w:t>
      </w:r>
      <w:r>
        <w:t xml:space="preserve"> </w:t>
      </w:r>
      <w:r>
        <w:rPr>
          <w:rStyle w:val="VerbatimChar"/>
        </w:rPr>
        <w:t xml:space="preserve">needle biopsy</w:t>
      </w:r>
      <w:r>
        <w:t xml:space="preserve">,</w:t>
      </w:r>
      <w:r>
        <w:t xml:space="preserve"> </w:t>
      </w:r>
      <w:r>
        <w:rPr>
          <w:rStyle w:val="VerbatimChar"/>
        </w:rPr>
        <w:t xml:space="preserve">percutaneous biopsy</w:t>
      </w:r>
      <w:r>
        <w:t xml:space="preserve">,</w:t>
      </w:r>
      <w:r>
        <w:t xml:space="preserve"> </w:t>
      </w:r>
      <w:r>
        <w:rPr>
          <w:rStyle w:val="VerbatimChar"/>
        </w:rPr>
        <w:t xml:space="preserve">image guided biopsy</w:t>
      </w:r>
      <w:r>
        <w:t xml:space="preserve">, and</w:t>
      </w:r>
      <w:r>
        <w:t xml:space="preserve"> </w:t>
      </w:r>
      <w:r>
        <w:rPr>
          <w:rStyle w:val="VerbatimChar"/>
        </w:rPr>
        <w:t xml:space="preserve">fine needle aspiration biopsy</w:t>
      </w:r>
      <w:r>
        <w:t xml:space="preserve"> </w:t>
      </w:r>
      <w:r>
        <w:t xml:space="preserve">(all exploded). Free-text mirrors PubMed Block #2. Target condition terms added:</w:t>
      </w:r>
      <w:r>
        <w:t xml:space="preserve"> </w:t>
      </w:r>
      <w:r>
        <w:rPr>
          <w:rStyle w:val="VerbatimChar"/>
        </w:rPr>
        <w:t xml:space="preserve">lung tumor</w:t>
      </w:r>
      <w:r>
        <w:t xml:space="preserve"> </w:t>
      </w:r>
      <w:r>
        <w:t xml:space="preserve">AND</w:t>
      </w:r>
      <w:r>
        <w:t xml:space="preserve"> </w:t>
      </w:r>
      <w:r>
        <w:rPr>
          <w:rStyle w:val="VerbatimChar"/>
        </w:rPr>
        <w:t xml:space="preserve">biopsy</w:t>
      </w:r>
      <w:r>
        <w:t xml:space="preserve"> </w:t>
      </w:r>
      <w:r>
        <w:t xml:space="preserve">(Emtree),</w:t>
      </w:r>
      <w:r>
        <w:t xml:space="preserve"> </w:t>
      </w:r>
      <w:r>
        <w:rPr>
          <w:rStyle w:val="VerbatimChar"/>
        </w:rPr>
        <w:t xml:space="preserve">lung nodule</w:t>
      </w:r>
      <w:r>
        <w:t xml:space="preserve"> </w:t>
      </w:r>
      <w:r>
        <w:t xml:space="preserve">AND</w:t>
      </w:r>
      <w:r>
        <w:t xml:space="preserve"> </w:t>
      </w:r>
      <w:r>
        <w:rPr>
          <w:rStyle w:val="VerbatimChar"/>
        </w:rPr>
        <w:t xml:space="preserve">biopsy</w:t>
      </w:r>
      <w:r>
        <w:t xml:space="preserve"> </w:t>
      </w:r>
      <w:r>
        <w:t xml:space="preserve">(Emtree), and lung nodule free-text with biopsy/needle qualifier.</w:t>
      </w:r>
    </w:p>
    <w:p>
      <w:pPr>
        <w:pStyle w:val="Compact"/>
        <w:numPr>
          <w:ilvl w:val="0"/>
          <w:numId w:val="1004"/>
        </w:numPr>
      </w:pPr>
      <w:r>
        <w:rPr>
          <w:b/>
          <w:bCs/>
        </w:rPr>
        <w:t xml:space="preserve">Block #3 (Outcomes — NOT USED)</w:t>
      </w:r>
      <w:r>
        <w:t xml:space="preserve">: Removed per Cochrane DTA Handbook guidance against methodology filters in DTA reviews.</w:t>
      </w:r>
    </w:p>
    <w:p>
      <w:pPr>
        <w:pStyle w:val="Compact"/>
        <w:numPr>
          <w:ilvl w:val="0"/>
          <w:numId w:val="1004"/>
        </w:numPr>
      </w:pPr>
      <w:r>
        <w:rPr>
          <w:b/>
          <w:bCs/>
        </w:rPr>
        <w:t xml:space="preserve">Line 41</w:t>
      </w:r>
      <w:r>
        <w:t xml:space="preserve">: Limits results to Embase-unique records to minimise overlap with PubMed.</w:t>
      </w:r>
    </w:p>
    <w:p>
      <w:r>
        <w:pict>
          <v:rect style="width:0;height:1.5pt" o:hralign="center" o:hrstd="t" o:hr="t"/>
        </w:pict>
      </w:r>
    </w:p>
    <w:bookmarkEnd w:id="20"/>
    <w:bookmarkEnd w:id="21"/>
    <w:bookmarkStart w:id="22" w:name="cochrane-central-confirmatory-search"/>
    <w:p>
      <w:pPr>
        <w:pStyle w:val="Heading2"/>
      </w:pPr>
      <w:r>
        <w:t xml:space="preserve">3. Cochrane CENTRAL — Confirmatory Search</w:t>
      </w:r>
    </w:p>
    <w:p>
      <w:pPr>
        <w:pStyle w:val="FirstParagraph"/>
      </w:pPr>
      <w:r>
        <w:rPr>
          <w:b/>
          <w:bCs/>
        </w:rPr>
        <w:t xml:space="preserve">Original protocol rationale.</w:t>
      </w:r>
      <w:r>
        <w:t xml:space="preserve"> </w:t>
      </w:r>
      <w:r>
        <w:t xml:space="preserve">The registered protocol (PROSPERO Versions 1.0 and 1.1) searched PubMed and Embase only. Cochrane CENTRAL was not designated a primary database because it indexes predominantly randomized controlled trials, which are rare for CBCT-guided biopsy — an established diagnostic procedure seldom studied in randomized designs — and PubMed plus Embase is an accepted minimum database set for non-Cochrane systematic reviews under PRISMA 2020.</w:t>
      </w:r>
    </w:p>
    <w:p>
      <w:pPr>
        <w:pStyle w:val="BodyText"/>
      </w:pPr>
      <w:r>
        <w:rPr>
          <w:b/>
          <w:bCs/>
        </w:rPr>
        <w:t xml:space="preserve">Confirmatory search performed.</w:t>
      </w:r>
      <w:r>
        <w:t xml:space="preserve"> </w:t>
      </w:r>
      <w:r>
        <w:t xml:space="preserve">During pre-submission revision, a confirmatory Cochrane CENTRAL search was nonetheless executed to verify completeness, and was registered as a dated amendment in PROSPERO Version 1.2 (see Supplementary Material 6).</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t xml:space="preserve">Item</w:t>
            </w:r>
          </w:p>
        </w:tc>
        <w:tc>
          <w:tcPr/>
          <w:p>
            <w:pPr>
              <w:pStyle w:val="Compact"/>
            </w:pPr>
            <w:r>
              <w:t xml:space="preserve">Detail</w:t>
            </w:r>
          </w:p>
        </w:tc>
      </w:tr>
      <w:tr>
        <w:tc>
          <w:tcPr/>
          <w:p>
            <w:pPr>
              <w:pStyle w:val="Compact"/>
            </w:pPr>
            <w:r>
              <w:t xml:space="preserve">Database</w:t>
            </w:r>
          </w:p>
        </w:tc>
        <w:tc>
          <w:tcPr/>
          <w:p>
            <w:pPr>
              <w:pStyle w:val="Compact"/>
            </w:pPr>
            <w:r>
              <w:t xml:space="preserve">Cochrane Central Register of Controlled Trials (CENTRAL), Issue 3 of 12, March 2026</w:t>
            </w:r>
          </w:p>
        </w:tc>
      </w:tr>
      <w:tr>
        <w:tc>
          <w:tcPr/>
          <w:p>
            <w:pPr>
              <w:pStyle w:val="Compact"/>
            </w:pPr>
            <w:r>
              <w:t xml:space="preserve">Search date</w:t>
            </w:r>
          </w:p>
        </w:tc>
        <w:tc>
          <w:tcPr/>
          <w:p>
            <w:pPr>
              <w:pStyle w:val="Compact"/>
            </w:pPr>
            <w:r>
              <w:t xml:space="preserve">2026-04-22</w:t>
            </w:r>
          </w:p>
        </w:tc>
      </w:tr>
      <w:tr>
        <w:tc>
          <w:tcPr/>
          <w:p>
            <w:pPr>
              <w:pStyle w:val="Compact"/>
            </w:pPr>
            <w:r>
              <w:t xml:space="preserve">Strategy</w:t>
            </w:r>
          </w:p>
        </w:tc>
        <w:tc>
          <w:tcPr/>
          <w:p>
            <w:pPr>
              <w:pStyle w:val="Compact"/>
            </w:pPr>
            <w:r>
              <w:t xml:space="preserve">Block #1 (CBCT) AND Block #2 (lung biopsy) — identical conceptual structure to the PubMed and Embase searches above</w:t>
            </w:r>
          </w:p>
        </w:tc>
      </w:tr>
      <w:tr>
        <w:tc>
          <w:tcPr/>
          <w:p>
            <w:pPr>
              <w:pStyle w:val="Compact"/>
            </w:pPr>
            <w:r>
              <w:t xml:space="preserve">Records retrieved</w:t>
            </w:r>
          </w:p>
        </w:tc>
        <w:tc>
          <w:tcPr/>
          <w:p>
            <w:pPr>
              <w:pStyle w:val="Compact"/>
            </w:pPr>
            <w:r>
              <w:t xml:space="preserve">7</w:t>
            </w:r>
          </w:p>
        </w:tc>
      </w:tr>
      <w:tr>
        <w:tc>
          <w:tcPr/>
          <w:p>
            <w:pPr>
              <w:pStyle w:val="Compact"/>
            </w:pPr>
            <w:r>
              <w:t xml:space="preserve">Additionally eligible</w:t>
            </w:r>
          </w:p>
        </w:tc>
        <w:tc>
          <w:tcPr/>
          <w:p>
            <w:pPr>
              <w:pStyle w:val="Compact"/>
            </w:pPr>
            <w:r>
              <w:t xml:space="preserve">0</w:t>
            </w:r>
          </w:p>
        </w:tc>
      </w:tr>
      <w:tr>
        <w:tc>
          <w:tcPr/>
          <w:p>
            <w:pPr>
              <w:pStyle w:val="Compact"/>
            </w:pPr>
            <w:r>
              <w:t xml:space="preserve">Disposition of the 7 records</w:t>
            </w:r>
          </w:p>
        </w:tc>
        <w:tc>
          <w:tcPr/>
          <w:p>
            <w:pPr>
              <w:pStyle w:val="Compact"/>
            </w:pPr>
            <w:r>
              <w:t xml:space="preserve">5 trial-registration entries without reported results; 1 electromagnetic-navigation bronchoscopy study (out of scope); 1 record already captured through Embase and retained as narrative-only</w:t>
            </w:r>
          </w:p>
        </w:tc>
      </w:tr>
    </w:tbl>
    <w:p>
      <w:pPr>
        <w:pStyle w:val="BodyText"/>
      </w:pPr>
      <w:r>
        <w:t xml:space="preserve">The confirmatory search added no new eligible studies. Its records are incorporated into the PRISMA flow source data (Supplementary Material 12, CENTRAL-inclusive counts) and the deduplication workflow (Supplementary Material 2).</w:t>
      </w:r>
    </w:p>
    <w:p>
      <w:r>
        <w:pict>
          <v:rect style="width:0;height:1.5pt" o:hralign="center" o:hrstd="t" o:hr="t"/>
        </w:pict>
      </w:r>
    </w:p>
    <w:bookmarkEnd w:id="22"/>
    <w:bookmarkStart w:id="23" w:name="X0d552a054de5fef7ceccd38d56df6e181737782"/>
    <w:p>
      <w:pPr>
        <w:pStyle w:val="Heading2"/>
      </w:pPr>
      <w:r>
        <w:t xml:space="preserve">4. Supplementary Sources (Not Formal Database Searches)</w:t>
      </w:r>
    </w:p>
    <w:p>
      <w:pPr>
        <w:pStyle w:val="FirstParagraph"/>
      </w:pPr>
      <w:r>
        <w:t xml:space="preserve">These are documented for PRISMA compliance but do not use Boolean search strategies: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w:t>
            </w:r>
          </w:p>
        </w:tc>
        <w:tc>
          <w:tcPr/>
          <w:p>
            <w:pPr>
              <w:pStyle w:val="Compact"/>
            </w:pPr>
            <w:r>
              <w:t xml:space="preserve">Method</w:t>
            </w:r>
          </w:p>
        </w:tc>
        <w:tc>
          <w:tcPr/>
          <w:p>
            <w:pPr>
              <w:pStyle w:val="Compact"/>
            </w:pPr>
            <w:r>
              <w:t xml:space="preserve">Result</w:t>
            </w:r>
          </w:p>
        </w:tc>
      </w:tr>
      <w:tr>
        <w:tc>
          <w:tcPr/>
          <w:p>
            <w:pPr>
              <w:pStyle w:val="Compact"/>
            </w:pPr>
            <w:r>
              <w:t xml:space="preserve">Reference lists of included studies</w:t>
            </w:r>
          </w:p>
        </w:tc>
        <w:tc>
          <w:tcPr/>
          <w:p>
            <w:pPr>
              <w:pStyle w:val="Compact"/>
            </w:pPr>
            <w:r>
              <w:t xml:space="preserve">Manual backward citation search</w:t>
            </w:r>
          </w:p>
        </w:tc>
        <w:tc>
          <w:tcPr/>
          <w:p>
            <w:pPr>
              <w:pStyle w:val="Compact"/>
            </w:pPr>
            <w:r>
              <w:t xml:space="preserve">No additional eligible studies</w:t>
            </w:r>
          </w:p>
        </w:tc>
      </w:tr>
      <w:tr>
        <w:tc>
          <w:tcPr/>
          <w:p>
            <w:pPr>
              <w:pStyle w:val="Compact"/>
            </w:pPr>
            <w:r>
              <w:t xml:space="preserve">Reference list of Yan 2017 (PMID 28392852)</w:t>
            </w:r>
          </w:p>
        </w:tc>
        <w:tc>
          <w:tcPr/>
          <w:p>
            <w:pPr>
              <w:pStyle w:val="Compact"/>
            </w:pPr>
            <w:r>
              <w:t xml:space="preserve">Manual check of all included studies</w:t>
            </w:r>
          </w:p>
        </w:tc>
        <w:tc>
          <w:tcPr/>
          <w:p>
            <w:pPr>
              <w:pStyle w:val="Compact"/>
            </w:pPr>
            <w:r>
              <w:t xml:space="preserve">All captured in the primary search</w:t>
            </w:r>
          </w:p>
        </w:tc>
      </w:tr>
      <w:tr>
        <w:tc>
          <w:tcPr/>
          <w:p>
            <w:pPr>
              <w:pStyle w:val="Compact"/>
            </w:pPr>
            <w:r>
              <w:t xml:space="preserve">Google Scholar forward citation of Yan 2017</w:t>
            </w:r>
          </w:p>
        </w:tc>
        <w:tc>
          <w:tcPr/>
          <w:p>
            <w:pPr>
              <w:pStyle w:val="Compact"/>
            </w:pPr>
            <w:r>
              <w:t xml:space="preserve">“Cited by”</w:t>
            </w:r>
            <w:r>
              <w:t xml:space="preserve"> </w:t>
            </w:r>
            <w:r>
              <w:t xml:space="preserve">search</w:t>
            </w:r>
          </w:p>
        </w:tc>
        <w:tc>
          <w:tcPr/>
          <w:p>
            <w:pPr>
              <w:pStyle w:val="Compact"/>
            </w:pPr>
            <w:r>
              <w:t xml:space="preserve">No additional eligible studies (duplicates)</w:t>
            </w:r>
          </w:p>
        </w:tc>
      </w:tr>
      <w:tr>
        <w:tc>
          <w:tcPr/>
          <w:p>
            <w:pPr>
              <w:pStyle w:val="Compact"/>
            </w:pPr>
            <w:r>
              <w:t xml:space="preserve">ClinicalTrials.gov</w:t>
            </w:r>
          </w:p>
        </w:tc>
        <w:tc>
          <w:tcPr/>
          <w:p>
            <w:pPr>
              <w:pStyle w:val="Compact"/>
            </w:pPr>
            <w:r>
              <w:t xml:space="preserve">“cone beam”</w:t>
            </w:r>
            <w:r>
              <w:t xml:space="preserve"> </w:t>
            </w:r>
            <w:r>
              <w:t xml:space="preserve">AND</w:t>
            </w:r>
            <w:r>
              <w:t xml:space="preserve"> </w:t>
            </w:r>
            <w:r>
              <w:t xml:space="preserve">“lung biopsy”</w:t>
            </w:r>
          </w:p>
        </w:tc>
        <w:tc>
          <w:tcPr/>
          <w:p>
            <w:pPr>
              <w:pStyle w:val="Compact"/>
            </w:pPr>
            <w:r>
              <w:t xml:space="preserve">No eligible registered studies</w:t>
            </w:r>
          </w:p>
        </w:tc>
      </w:tr>
      <w:tr>
        <w:tc>
          <w:tcPr/>
          <w:p>
            <w:pPr>
              <w:pStyle w:val="Compact"/>
            </w:pPr>
            <w:r>
              <w:t xml:space="preserve">PROSPERO</w:t>
            </w:r>
          </w:p>
        </w:tc>
        <w:tc>
          <w:tcPr/>
          <w:p>
            <w:pPr>
              <w:pStyle w:val="Compact"/>
            </w:pPr>
            <w:r>
              <w:t xml:space="preserve">“CBCT”</w:t>
            </w:r>
            <w:r>
              <w:t xml:space="preserve"> </w:t>
            </w:r>
            <w:r>
              <w:t xml:space="preserve">AND</w:t>
            </w:r>
            <w:r>
              <w:t xml:space="preserve"> </w:t>
            </w:r>
            <w:r>
              <w:t xml:space="preserve">“lung biopsy”</w:t>
            </w:r>
          </w:p>
        </w:tc>
        <w:tc>
          <w:tcPr/>
          <w:p>
            <w:pPr>
              <w:pStyle w:val="Compact"/>
            </w:pPr>
            <w:r>
              <w:t xml:space="preserve">No prior or ongoing registration</w:t>
            </w:r>
          </w:p>
        </w:tc>
      </w:tr>
    </w:tbl>
    <w:p>
      <w:r>
        <w:pict>
          <v:rect style="width:0;height:1.5pt" o:hralign="center" o:hrstd="t" o:hr="t"/>
        </w:pict>
      </w:r>
    </w:p>
    <w:bookmarkEnd w:id="23"/>
    <w:bookmarkStart w:id="24" w:name="sensitivity-check"/>
    <w:p>
      <w:pPr>
        <w:pStyle w:val="Heading2"/>
      </w:pPr>
      <w:r>
        <w:t xml:space="preserve">Sensitivity Check</w:t>
      </w:r>
    </w:p>
    <w:p>
      <w:pPr>
        <w:pStyle w:val="FirstParagraph"/>
      </w:pPr>
      <w:r>
        <w:t xml:space="preserve">To verify search completeness, six sentinel records were selected and confirmed retrievable by the executed PubMed + Embase strategy: three drawn from the prior Yan 2017 review (two of its included studies and one of its overlap-excluded studies) and three from the preliminary PubMed triage. A sentinel record validates search</w:t>
      </w:r>
      <w:r>
        <w:t xml:space="preserve"> </w:t>
      </w:r>
      <w:r>
        <w:rPr>
          <w:i/>
          <w:iCs/>
        </w:rPr>
        <w:t xml:space="preserve">retrieval</w:t>
      </w:r>
      <w:r>
        <w:t xml:space="preserve">; whether a retrieved record is ultimately carried forward to the included set is a separate downstream screening decision, shown in the Disposition column.</w:t>
      </w:r>
    </w:p>
    <w:tbl>
      <w:tblPr>
        <w:tblStyle w:val="Table"/>
        <w:tblW w:type="pct" w:w="5000"/>
        <w:tblLayout w:type="fixed"/>
        <w:tblLook w:firstRow="1" w:lastRow="0" w:firstColumn="0" w:lastColumn="0" w:noHBand="0" w:noVBand="0" w:val="0020"/>
      </w:tblPr>
      <w:tblGrid>
        <w:gridCol w:w="500"/>
        <w:gridCol w:w="500"/>
        <w:gridCol w:w="2000"/>
        <w:gridCol w:w="1667"/>
        <w:gridCol w:w="917"/>
        <w:gridCol w:w="2334"/>
      </w:tblGrid>
      <w:tr>
        <w:trPr>
          <w:tblHeader w:val="on"/>
        </w:trPr>
        <w:tc>
          <w:tcPr/>
          <w:p>
            <w:pPr>
              <w:pStyle w:val="Compact"/>
            </w:pPr>
            <w:r>
              <w:t xml:space="preserve">PMID</w:t>
            </w:r>
          </w:p>
        </w:tc>
        <w:tc>
          <w:tcPr/>
          <w:p>
            <w:pPr>
              <w:pStyle w:val="Compact"/>
            </w:pPr>
            <w:r>
              <w:t xml:space="preserve">Year</w:t>
            </w:r>
          </w:p>
        </w:tc>
        <w:tc>
          <w:tcPr/>
          <w:p>
            <w:pPr>
              <w:pStyle w:val="Compact"/>
            </w:pPr>
            <w:r>
              <w:t xml:space="preserve">First author (journal)</w:t>
            </w:r>
          </w:p>
        </w:tc>
        <w:tc>
          <w:tcPr/>
          <w:p>
            <w:pPr>
              <w:pStyle w:val="Compact"/>
            </w:pPr>
            <w:r>
              <w:t xml:space="preserve">Sentinel rationale</w:t>
            </w:r>
          </w:p>
        </w:tc>
        <w:tc>
          <w:tcPr/>
          <w:p>
            <w:pPr>
              <w:pStyle w:val="Compact"/>
            </w:pPr>
            <w:r>
              <w:t xml:space="preserve">Retrieved</w:t>
            </w:r>
          </w:p>
        </w:tc>
        <w:tc>
          <w:tcPr/>
          <w:p>
            <w:pPr>
              <w:pStyle w:val="Compact"/>
            </w:pPr>
            <w:r>
              <w:t xml:space="preserve">Disposition in this review</w:t>
            </w:r>
          </w:p>
        </w:tc>
      </w:tr>
      <w:tr>
        <w:tc>
          <w:tcPr/>
          <w:p>
            <w:pPr>
              <w:pStyle w:val="Compact"/>
            </w:pPr>
            <w:r>
              <w:t xml:space="preserve">21098171</w:t>
            </w:r>
          </w:p>
        </w:tc>
        <w:tc>
          <w:tcPr/>
          <w:p>
            <w:pPr>
              <w:pStyle w:val="Compact"/>
            </w:pPr>
            <w:r>
              <w:t xml:space="preserve">2010</w:t>
            </w:r>
          </w:p>
        </w:tc>
        <w:tc>
          <w:tcPr/>
          <w:p>
            <w:pPr>
              <w:pStyle w:val="Compact"/>
            </w:pPr>
            <w:r>
              <w:t xml:space="preserve">Hwang HS (AJR)</w:t>
            </w:r>
          </w:p>
        </w:tc>
        <w:tc>
          <w:tcPr/>
          <w:p>
            <w:pPr>
              <w:pStyle w:val="Compact"/>
            </w:pPr>
            <w:r>
              <w:t xml:space="preserve">Yan 2017 included study</w:t>
            </w:r>
          </w:p>
        </w:tc>
        <w:tc>
          <w:tcPr/>
          <w:p>
            <w:pPr>
              <w:pStyle w:val="Compact"/>
            </w:pPr>
            <w:r>
              <w:t xml:space="preserve">Yes</w:t>
            </w:r>
          </w:p>
        </w:tc>
        <w:tc>
          <w:tcPr/>
          <w:p>
            <w:pPr>
              <w:pStyle w:val="Compact"/>
            </w:pPr>
            <w:r>
              <w:t xml:space="preserve">Included — manuscript ref 2</w:t>
            </w:r>
          </w:p>
        </w:tc>
      </w:tr>
      <w:tr>
        <w:tc>
          <w:tcPr/>
          <w:p>
            <w:pPr>
              <w:pStyle w:val="Compact"/>
            </w:pPr>
            <w:r>
              <w:t xml:space="preserve">22915422</w:t>
            </w:r>
          </w:p>
        </w:tc>
        <w:tc>
          <w:tcPr/>
          <w:p>
            <w:pPr>
              <w:pStyle w:val="Compact"/>
            </w:pPr>
            <w:r>
              <w:t xml:space="preserve">2012</w:t>
            </w:r>
          </w:p>
        </w:tc>
        <w:tc>
          <w:tcPr/>
          <w:p>
            <w:pPr>
              <w:pStyle w:val="Compact"/>
            </w:pPr>
            <w:r>
              <w:t xml:space="preserve">Choi JW (AJR)</w:t>
            </w:r>
          </w:p>
        </w:tc>
        <w:tc>
          <w:tcPr/>
          <w:p>
            <w:pPr>
              <w:pStyle w:val="Compact"/>
            </w:pPr>
            <w:r>
              <w:t xml:space="preserve">Yan 2017 overlap-excluded study</w:t>
            </w:r>
          </w:p>
        </w:tc>
        <w:tc>
          <w:tcPr/>
          <w:p>
            <w:pPr>
              <w:pStyle w:val="Compact"/>
            </w:pPr>
            <w:r>
              <w:t xml:space="preserve">Yes</w:t>
            </w:r>
          </w:p>
        </w:tc>
        <w:tc>
          <w:tcPr/>
          <w:p>
            <w:pPr>
              <w:pStyle w:val="Compact"/>
            </w:pPr>
            <w:r>
              <w:t xml:space="preserve">Retrieved, excluded F7 — SNUH 161-patient cohort, subset of Lee 2014 (ref 7)</w:t>
            </w:r>
          </w:p>
        </w:tc>
      </w:tr>
      <w:tr>
        <w:tc>
          <w:tcPr/>
          <w:p>
            <w:pPr>
              <w:pStyle w:val="Compact"/>
            </w:pPr>
            <w:r>
              <w:t xml:space="preserve">24475839</w:t>
            </w:r>
          </w:p>
        </w:tc>
        <w:tc>
          <w:tcPr/>
          <w:p>
            <w:pPr>
              <w:pStyle w:val="Compact"/>
            </w:pPr>
            <w:r>
              <w:t xml:space="preserve">2014</w:t>
            </w:r>
          </w:p>
        </w:tc>
        <w:tc>
          <w:tcPr/>
          <w:p>
            <w:pPr>
              <w:pStyle w:val="Compact"/>
            </w:pPr>
            <w:r>
              <w:t xml:space="preserve">Lee SM (Radiology)</w:t>
            </w:r>
          </w:p>
        </w:tc>
        <w:tc>
          <w:tcPr/>
          <w:p>
            <w:pPr>
              <w:pStyle w:val="Compact"/>
            </w:pPr>
            <w:r>
              <w:t xml:space="preserve">Yan 2017 included study</w:t>
            </w:r>
          </w:p>
        </w:tc>
        <w:tc>
          <w:tcPr/>
          <w:p>
            <w:pPr>
              <w:pStyle w:val="Compact"/>
            </w:pPr>
            <w:r>
              <w:t xml:space="preserve">Yes</w:t>
            </w:r>
          </w:p>
        </w:tc>
        <w:tc>
          <w:tcPr/>
          <w:p>
            <w:pPr>
              <w:pStyle w:val="Compact"/>
            </w:pPr>
            <w:r>
              <w:t xml:space="preserve">Included — manuscript ref 7</w:t>
            </w:r>
          </w:p>
        </w:tc>
      </w:tr>
      <w:tr>
        <w:tc>
          <w:tcPr/>
          <w:p>
            <w:pPr>
              <w:pStyle w:val="Compact"/>
            </w:pPr>
            <w:r>
              <w:t xml:space="preserve">41594202</w:t>
            </w:r>
          </w:p>
        </w:tc>
        <w:tc>
          <w:tcPr/>
          <w:p>
            <w:pPr>
              <w:pStyle w:val="Compact"/>
            </w:pPr>
            <w:r>
              <w:t xml:space="preserve">2026</w:t>
            </w:r>
          </w:p>
        </w:tc>
        <w:tc>
          <w:tcPr/>
          <w:p>
            <w:pPr>
              <w:pStyle w:val="Compact"/>
            </w:pPr>
            <w:r>
              <w:t xml:space="preserve">Chen LC (Diagnostics)</w:t>
            </w:r>
          </w:p>
        </w:tc>
        <w:tc>
          <w:tcPr/>
          <w:p>
            <w:pPr>
              <w:pStyle w:val="Compact"/>
            </w:pPr>
            <w:r>
              <w:t xml:space="preserve">Preliminary triage — most recent eligible study (2026)</w:t>
            </w:r>
          </w:p>
        </w:tc>
        <w:tc>
          <w:tcPr/>
          <w:p>
            <w:pPr>
              <w:pStyle w:val="Compact"/>
            </w:pPr>
            <w:r>
              <w:t xml:space="preserve">Yes</w:t>
            </w:r>
          </w:p>
        </w:tc>
        <w:tc>
          <w:tcPr/>
          <w:p>
            <w:pPr>
              <w:pStyle w:val="Compact"/>
            </w:pPr>
            <w:r>
              <w:t xml:space="preserve">Included — manuscript ref 22</w:t>
            </w:r>
          </w:p>
        </w:tc>
      </w:tr>
      <w:tr>
        <w:tc>
          <w:tcPr/>
          <w:p>
            <w:pPr>
              <w:pStyle w:val="Compact"/>
            </w:pPr>
            <w:r>
              <w:t xml:space="preserve">33938644</w:t>
            </w:r>
          </w:p>
        </w:tc>
        <w:tc>
          <w:tcPr/>
          <w:p>
            <w:pPr>
              <w:pStyle w:val="Compact"/>
            </w:pPr>
            <w:r>
              <w:t xml:space="preserve">2021</w:t>
            </w:r>
          </w:p>
        </w:tc>
        <w:tc>
          <w:tcPr/>
          <w:p>
            <w:pPr>
              <w:pStyle w:val="Compact"/>
            </w:pPr>
            <w:r>
              <w:t xml:space="preserve">Hong W (KJR)</w:t>
            </w:r>
          </w:p>
        </w:tc>
        <w:tc>
          <w:tcPr/>
          <w:p>
            <w:pPr>
              <w:pStyle w:val="Compact"/>
            </w:pPr>
            <w:r>
              <w:t xml:space="preserve">Preliminary triage — CBCT-PTNB hit</w:t>
            </w:r>
          </w:p>
        </w:tc>
        <w:tc>
          <w:tcPr/>
          <w:p>
            <w:pPr>
              <w:pStyle w:val="Compact"/>
            </w:pPr>
            <w:r>
              <w:t xml:space="preserve">Yes</w:t>
            </w:r>
          </w:p>
        </w:tc>
        <w:tc>
          <w:tcPr/>
          <w:p>
            <w:pPr>
              <w:pStyle w:val="Compact"/>
            </w:pPr>
            <w:r>
              <w:t xml:space="preserve">Retrieved, excluded F7 — SNUH juxtaphrenic cohort overlapping Lee 2014 (ref 7)</w:t>
            </w:r>
          </w:p>
        </w:tc>
      </w:tr>
      <w:tr>
        <w:tc>
          <w:tcPr/>
          <w:p>
            <w:pPr>
              <w:pStyle w:val="Compact"/>
            </w:pPr>
            <w:r>
              <w:t xml:space="preserve">31339018</w:t>
            </w:r>
          </w:p>
        </w:tc>
        <w:tc>
          <w:tcPr/>
          <w:p>
            <w:pPr>
              <w:pStyle w:val="Compact"/>
            </w:pPr>
            <w:r>
              <w:t xml:space="preserve">2019</w:t>
            </w:r>
          </w:p>
        </w:tc>
        <w:tc>
          <w:tcPr/>
          <w:p>
            <w:pPr>
              <w:pStyle w:val="Compact"/>
            </w:pPr>
            <w:r>
              <w:t xml:space="preserve">Lee KH (KJR)</w:t>
            </w:r>
          </w:p>
        </w:tc>
        <w:tc>
          <w:tcPr/>
          <w:p>
            <w:pPr>
              <w:pStyle w:val="Compact"/>
            </w:pPr>
            <w:r>
              <w:t xml:space="preserve">Preliminary triage — PTNB hit</w:t>
            </w:r>
          </w:p>
        </w:tc>
        <w:tc>
          <w:tcPr/>
          <w:p>
            <w:pPr>
              <w:pStyle w:val="Compact"/>
            </w:pPr>
            <w:r>
              <w:t xml:space="preserve">Yes</w:t>
            </w:r>
          </w:p>
        </w:tc>
        <w:tc>
          <w:tcPr/>
          <w:p>
            <w:pPr>
              <w:pStyle w:val="Compact"/>
            </w:pPr>
            <w:r>
              <w:t xml:space="preserve">Retrieved, excluded E1 — general multicentre PTNB study, not CBCT-guided</w:t>
            </w:r>
          </w:p>
        </w:tc>
      </w:tr>
    </w:tbl>
    <w:p>
      <w:pPr>
        <w:pStyle w:val="BodyText"/>
      </w:pPr>
      <w:r>
        <w:t xml:space="preserve">All six sentinel records were retrieved by the executed strategy, confirming search sensitivity. The three sentinels not carried forward to the included set were each removed by a documented screening rule (overlapping institutional cohort, F7; or non-CBCT guidance, E1) rather than missed by the search. Yan 2017 likewise excluded Choi JW 2012 (PMID 22915422) as an overlapping institutional cohort, and Yan 2017’s included</w:t>
      </w:r>
      <w:r>
        <w:t xml:space="preserve"> </w:t>
      </w:r>
      <w:r>
        <w:t xml:space="preserve">“Choi 2012”</w:t>
      </w:r>
      <w:r>
        <w:t xml:space="preserve"> </w:t>
      </w:r>
      <w:r>
        <w:t xml:space="preserve">study is Choi MJ 2012 (Br J Radiol, PMID 21791505 = manuscript ref 5), which the present review also includes.</w:t>
      </w:r>
    </w:p>
    <w:p>
      <w:r>
        <w:pict>
          <v:rect style="width:0;height:1.5pt" o:hralign="center" o:hrstd="t" o:hr="t"/>
        </w:pict>
      </w:r>
    </w:p>
    <w:bookmarkEnd w:id="24"/>
    <w:bookmarkEnd w:id="25"/>
    <w:bookmarkStart w:id="31" w:name="X001cf97b1c13d460f19374d6b2fb5bd6c5399eb"/>
    <w:p>
      <w:pPr>
        <w:pStyle w:val="Heading1"/>
      </w:pPr>
      <w:r>
        <w:t xml:space="preserve">Supplementary Material 2. Deduplication workflow</w:t>
      </w:r>
    </w:p>
    <w:p>
      <w:pPr>
        <w:pStyle w:val="FirstParagraph"/>
      </w:pPr>
      <w:r>
        <w:t xml:space="preserve">This file documents the deduplication procedure (PMID matching followed by title comparison) used to remove cross-database overlaps between PubMed, Embase, and Cochrane CENTRAL, with record counts at each step. The Embase</w:t>
      </w:r>
      <w:r>
        <w:t xml:space="preserve"> </w:t>
      </w:r>
      <w:r>
        <w:rPr>
          <w:rStyle w:val="VerbatimChar"/>
        </w:rPr>
        <w:t xml:space="preserve">[embase]/lim</w:t>
      </w:r>
      <w:r>
        <w:t xml:space="preserve"> </w:t>
      </w:r>
      <w:r>
        <w:t xml:space="preserve">filter is acknowledged not to be universally reliable for MEDLINE-indexed journals also indexed in Embase; the explicit PMID + title workflow described below was therefore used as the authoritative dedup procedure rather than relying on the filter alone.</w:t>
      </w:r>
    </w:p>
    <w:p>
      <w:r>
        <w:pict>
          <v:rect style="width:0;height:1.5pt" o:hralign="center" o:hrstd="t" o:hr="t"/>
        </w:pict>
      </w:r>
    </w:p>
    <w:bookmarkStart w:id="62" w:name="step-0-raw-retrieval"/>
    <w:p>
      <w:pPr>
        <w:pStyle w:val="Heading2"/>
      </w:pPr>
      <w:r>
        <w:t xml:space="preserve">Step 0 — Raw retrieval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Source</w:t>
            </w:r>
          </w:p>
        </w:tc>
        <w:tc>
          <w:tcPr/>
          <w:p>
            <w:pPr>
              <w:pStyle w:val="Compact"/>
            </w:pPr>
            <w:r>
              <w:t xml:space="preserve">Search date</w:t>
            </w:r>
          </w:p>
        </w:tc>
        <w:tc>
          <w:tcPr/>
          <w:p>
            <w:pPr>
              <w:pStyle w:val="Compact"/>
            </w:pPr>
            <w:r>
              <w:t xml:space="preserve">Raw records</w:t>
            </w:r>
          </w:p>
        </w:tc>
      </w:tr>
      <w:tr>
        <w:tc>
          <w:tcPr/>
          <w:p>
            <w:pPr>
              <w:pStyle w:val="Compact"/>
            </w:pPr>
            <w:r>
              <w:t xml:space="preserve">PubMed</w:t>
            </w:r>
          </w:p>
        </w:tc>
        <w:tc>
          <w:tcPr/>
          <w:p>
            <w:pPr>
              <w:pStyle w:val="Compact"/>
            </w:pPr>
            <w:r>
              <w:t xml:space="preserve">2026-04-06</w:t>
            </w:r>
          </w:p>
        </w:tc>
        <w:tc>
          <w:tcPr/>
          <w:p>
            <w:pPr>
              <w:pStyle w:val="Compact"/>
            </w:pPr>
            <w:r>
              <w:t xml:space="preserve">224</w:t>
            </w:r>
          </w:p>
        </w:tc>
      </w:tr>
      <w:tr>
        <w:tc>
          <w:tcPr/>
          <w:p>
            <w:pPr>
              <w:pStyle w:val="Compact"/>
            </w:pPr>
            <w:r>
              <w:t xml:space="preserve">Embase</w:t>
            </w:r>
          </w:p>
        </w:tc>
        <w:tc>
          <w:tcPr/>
          <w:p>
            <w:pPr>
              <w:pStyle w:val="Compact"/>
            </w:pPr>
            <w:r>
              <w:t xml:space="preserve">2026-04-06</w:t>
            </w:r>
          </w:p>
        </w:tc>
        <w:tc>
          <w:tcPr/>
          <w:p>
            <w:pPr>
              <w:pStyle w:val="Compact"/>
            </w:pPr>
            <w:r>
              <w:t xml:space="preserve">826</w:t>
            </w:r>
          </w:p>
        </w:tc>
      </w:tr>
      <w:tr>
        <w:tc>
          <w:tcPr/>
          <w:p>
            <w:pPr>
              <w:pStyle w:val="Compact"/>
            </w:pPr>
            <w:r>
              <w:t xml:space="preserve">Cochrane CENTRAL (Issue 3 of 12, March 2026)</w:t>
            </w:r>
          </w:p>
        </w:tc>
        <w:tc>
          <w:tcPr/>
          <w:p>
            <w:pPr>
              <w:pStyle w:val="Compact"/>
            </w:pPr>
            <w:r>
              <w:t xml:space="preserve">2026-04-22</w:t>
            </w:r>
          </w:p>
        </w:tc>
        <w:tc>
          <w:tcPr/>
          <w:p>
            <w:pPr>
              <w:pStyle w:val="Compact"/>
            </w:pPr>
            <w:r>
              <w:t xml:space="preserve">7</w:t>
            </w:r>
          </w:p>
        </w:tc>
      </w:tr>
      <w:tr>
        <w:tc>
          <w:tcPr/>
          <w:p>
            <w:pPr>
              <w:pStyle w:val="Compact"/>
            </w:pPr>
            <w:r>
              <w:rPr>
                <w:b/>
                <w:bCs/>
              </w:rPr>
              <w:t xml:space="preserve">Total identified</w:t>
            </w:r>
          </w:p>
        </w:tc>
        <w:tc>
          <w:tcPr/>
          <w:p>
            <w:pPr>
              <w:pStyle w:val="Compact"/>
            </w:pPr>
          </w:p>
        </w:tc>
        <w:tc>
          <w:tcPr/>
          <w:p>
            <w:pPr>
              <w:pStyle w:val="Compact"/>
            </w:pPr>
            <w:r>
              <w:rPr>
                <w:b/>
                <w:bCs/>
              </w:rPr>
              <w:t xml:space="preserve">1,057</w:t>
            </w:r>
          </w:p>
        </w:tc>
      </w:tr>
    </w:tbl>
    <w:p>
      <w:pPr>
        <w:pStyle w:val="BodyText"/>
      </w:pPr>
      <w:r>
        <w:t xml:space="preserve">Search artifacts:</w:t>
      </w:r>
      <w:r>
        <w:t xml:space="preserve"> </w:t>
      </w:r>
      <w:r>
        <w:t xml:space="preserve">- PubMed records (PMID-prefixed)</w:t>
      </w:r>
      <w:r>
        <w:t xml:space="preserve"> </w:t>
      </w:r>
      <w:r>
        <w:t xml:space="preserve">- Embase records</w:t>
      </w:r>
      <w:r>
        <w:t xml:space="preserve"> </w:t>
      </w:r>
      <w:r>
        <w:t xml:space="preserve">- Cochrane CENTRAL records</w:t>
      </w:r>
    </w:p>
    <w:bookmarkEnd w:id="62"/>
    <w:bookmarkStart w:id="63" w:name="step-1-intra-embase-deduplication"/>
    <w:p>
      <w:pPr>
        <w:pStyle w:val="Heading2"/>
      </w:pPr>
      <w:r>
        <w:t xml:space="preserve">Step 1 — Intra-Embase deduplication</w:t>
      </w:r>
    </w:p>
    <w:p>
      <w:pPr>
        <w:pStyle w:val="FirstParagraph"/>
      </w:pPr>
      <w:r>
        <w:t xml:space="preserve">The raw Embase export (826 records) contained 11 title-equivalent duplicate rows arising from multiple Embase indexing entries for the same publication. These were collapsed during TSV import on the basis of normalized-title matching (lowercase + strip punctuation + whitespace normalization). Collapsing was confirmed by counting unique normalized titles against the raw Embase export.</w:t>
      </w:r>
    </w:p>
    <w:p>
      <w:pPr>
        <w:pStyle w:val="BodyText"/>
      </w:pPr>
      <w:r>
        <w:rPr>
          <w:b/>
          <w:bCs/>
        </w:rPr>
        <w:t xml:space="preserve">After Step 1</w:t>
      </w:r>
      <w:r>
        <w:t xml:space="preserve">: 815 unique Embase records.</w:t>
      </w:r>
    </w:p>
    <w:bookmarkEnd w:id="63"/>
    <w:bookmarkStart w:id="64" w:name="X82cad72c0119ba9ae15e45bcd741b6e1c75f3ab"/>
    <w:p>
      <w:pPr>
        <w:pStyle w:val="Heading2"/>
      </w:pPr>
      <w:r>
        <w:t xml:space="preserve">Step 2 — PubMed ↔ Embase cross-database deduplication</w:t>
      </w:r>
    </w:p>
    <w:p>
      <w:pPr>
        <w:pStyle w:val="FirstParagraph"/>
      </w:pPr>
      <w:r>
        <w:t xml:space="preserve">For each Embase record, the PubMed Identifier (PMID) was extracted from the Embase</w:t>
      </w:r>
      <w:r>
        <w:t xml:space="preserve"> </w:t>
      </w:r>
      <w:r>
        <w:rPr>
          <w:rStyle w:val="VerbatimChar"/>
        </w:rPr>
        <w:t xml:space="preserve">MN</w:t>
      </w:r>
      <w:r>
        <w:t xml:space="preserve"> </w:t>
      </w:r>
      <w:r>
        <w:t xml:space="preserve">field where present. Records with a PMID matching any PubMed record in the corpus were tagged as cross-database duplicates and merged into the PubMed record (i.e., the PubMed record was retained as the authoritative entry, the Embase row dropped).</w:t>
      </w:r>
    </w:p>
    <w:p>
      <w:pPr>
        <w:pStyle w:val="BodyText"/>
      </w:pPr>
      <w:r>
        <w:t xml:space="preserve">For Embase records lacking a PMID (typically conference abstracts, in-press records, and non-MEDLINE-indexed journals), title-based matching was applied: title strings were normalized (lowercase, punctuation stripped, whitespace collapsed) and compared against the PubMed corpus using exact-match lookup, then for any unmatched records, fuzzy match using Levenshtein distance ≤ 2 against the closest PubMed title (manual review of any flagged candidates to confirm true duplicate).</w:t>
      </w:r>
    </w:p>
    <w:tbl>
      <w:tblPr>
        <w:tblStyle w:val="Table"/>
        <w:tblW w:type="pct" w:w="5000"/>
        <w:tblLayout w:type="fixed"/>
        <w:tblLook w:firstRow="1" w:lastRow="0" w:firstColumn="0" w:lastColumn="0" w:noHBand="0" w:noVBand="0" w:val="0020"/>
      </w:tblPr>
      <w:tblGrid>
        <w:gridCol w:w="5940"/>
        <w:gridCol w:w="1980"/>
      </w:tblGrid>
      <w:tr>
        <w:trPr>
          <w:tblHeader w:val="on"/>
        </w:trPr>
        <w:tc>
          <w:tcPr/>
          <w:p>
            <w:pPr>
              <w:pStyle w:val="Compact"/>
            </w:pPr>
            <w:r>
              <w:t xml:space="preserve">Outcome</w:t>
            </w:r>
          </w:p>
        </w:tc>
        <w:tc>
          <w:tcPr/>
          <w:p>
            <w:pPr>
              <w:pStyle w:val="Compact"/>
            </w:pPr>
            <w:r>
              <w:t xml:space="preserve">n</w:t>
            </w:r>
          </w:p>
        </w:tc>
      </w:tr>
      <w:tr>
        <w:tc>
          <w:tcPr/>
          <w:p>
            <w:pPr>
              <w:pStyle w:val="Compact"/>
            </w:pPr>
            <w:r>
              <w:t xml:space="preserve">Embase records with PMID matching PubMed corpus</w:t>
            </w:r>
          </w:p>
        </w:tc>
        <w:tc>
          <w:tcPr/>
          <w:p>
            <w:pPr>
              <w:pStyle w:val="Compact"/>
            </w:pPr>
            <w:r>
              <w:t xml:space="preserve">139</w:t>
            </w:r>
          </w:p>
        </w:tc>
      </w:tr>
      <w:tr>
        <w:tc>
          <w:tcPr/>
          <w:p>
            <w:pPr>
              <w:pStyle w:val="Compact"/>
            </w:pPr>
            <w:r>
              <w:t xml:space="preserve">Embase records lacking PMID, exact-title matched to PubMed</w:t>
            </w:r>
          </w:p>
        </w:tc>
        <w:tc>
          <w:tcPr/>
          <w:p>
            <w:pPr>
              <w:pStyle w:val="Compact"/>
            </w:pPr>
            <w:r>
              <w:t xml:space="preserve">0</w:t>
            </w:r>
          </w:p>
        </w:tc>
      </w:tr>
      <w:tr>
        <w:tc>
          <w:tcPr/>
          <w:p>
            <w:pPr>
              <w:pStyle w:val="Compact"/>
            </w:pPr>
            <w:r>
              <w:t xml:space="preserve">Embase records lacking PMID, fuzzy-matched and confirmed duplicate</w:t>
            </w:r>
          </w:p>
        </w:tc>
        <w:tc>
          <w:tcPr/>
          <w:p>
            <w:pPr>
              <w:pStyle w:val="Compact"/>
            </w:pPr>
            <w:r>
              <w:t xml:space="preserve">0</w:t>
            </w:r>
          </w:p>
        </w:tc>
      </w:tr>
      <w:tr>
        <w:tc>
          <w:tcPr/>
          <w:p>
            <w:pPr>
              <w:pStyle w:val="Compact"/>
            </w:pPr>
            <w:r>
              <w:rPr>
                <w:b/>
                <w:bCs/>
              </w:rPr>
              <w:t xml:space="preserve">PubMed–Embase cross-database overlap (total)</w:t>
            </w:r>
          </w:p>
        </w:tc>
        <w:tc>
          <w:tcPr/>
          <w:p>
            <w:pPr>
              <w:pStyle w:val="Compact"/>
            </w:pPr>
            <w:r>
              <w:rPr>
                <w:b/>
                <w:bCs/>
              </w:rPr>
              <w:t xml:space="preserve">139</w:t>
            </w:r>
          </w:p>
        </w:tc>
      </w:tr>
    </w:tbl>
    <w:p>
      <w:pPr>
        <w:pStyle w:val="BodyText"/>
      </w:pPr>
      <w:r>
        <w:rPr>
          <w:b/>
          <w:bCs/>
        </w:rPr>
        <w:t xml:space="preserve">After Step 2</w:t>
      </w:r>
      <w:r>
        <w:t xml:space="preserve">: 224 PubMed-origin + (815 − 139) Embase-only = 224 + 676 = 900 unique records.</w:t>
      </w:r>
    </w:p>
    <w:bookmarkEnd w:id="64"/>
    <w:bookmarkStart w:id="65" w:name="Xf6f5d2b1b8de1544af76629f3da13d478ae8523"/>
    <w:p>
      <w:pPr>
        <w:pStyle w:val="Heading2"/>
      </w:pPr>
      <w:r>
        <w:t xml:space="preserve">Step 3 — CENTRAL ↔ existing pool deduplication</w:t>
      </w:r>
    </w:p>
    <w:p>
      <w:pPr>
        <w:pStyle w:val="FirstParagraph"/>
      </w:pPr>
      <w:r>
        <w:t xml:space="preserve">The 7 CENTRAL records were similarly checked against the existing 900-record pool by PMID (where present) and by title (Levenshtein ≤ 2). One overlap was identified: the Huang 2023 record was already present in the Embase corpus and had been retained as narrative-only (Chinese-language publication in J Interv Radiol (China), full-text retrieval unsuccessful through institutional access, Crossref, and Unpaywall).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Outcome</w:t>
            </w:r>
          </w:p>
        </w:tc>
        <w:tc>
          <w:tcPr/>
          <w:p>
            <w:pPr>
              <w:pStyle w:val="Compact"/>
            </w:pPr>
            <w:r>
              <w:t xml:space="preserve">n</w:t>
            </w:r>
          </w:p>
        </w:tc>
      </w:tr>
      <w:tr>
        <w:tc>
          <w:tcPr/>
          <w:p>
            <w:pPr>
              <w:pStyle w:val="Compact"/>
            </w:pPr>
            <w:r>
              <w:t xml:space="preserve">CENTRAL records overlapping with PubMed</w:t>
            </w:r>
          </w:p>
        </w:tc>
        <w:tc>
          <w:tcPr/>
          <w:p>
            <w:pPr>
              <w:pStyle w:val="Compact"/>
            </w:pPr>
            <w:r>
              <w:t xml:space="preserve">0</w:t>
            </w:r>
          </w:p>
        </w:tc>
      </w:tr>
      <w:tr>
        <w:tc>
          <w:tcPr/>
          <w:p>
            <w:pPr>
              <w:pStyle w:val="Compact"/>
            </w:pPr>
            <w:r>
              <w:t xml:space="preserve">CENTRAL records overlapping with Embase (Huang 2023)</w:t>
            </w:r>
          </w:p>
        </w:tc>
        <w:tc>
          <w:tcPr/>
          <w:p>
            <w:pPr>
              <w:pStyle w:val="Compact"/>
            </w:pPr>
            <w:r>
              <w:t xml:space="preserve">1</w:t>
            </w:r>
          </w:p>
        </w:tc>
      </w:tr>
      <w:tr>
        <w:tc>
          <w:tcPr/>
          <w:p>
            <w:pPr>
              <w:pStyle w:val="Compact"/>
            </w:pPr>
            <w:r>
              <w:rPr>
                <w:b/>
                <w:bCs/>
              </w:rPr>
              <w:t xml:space="preserve">CENTRAL–existing-pool cross-database overlap (total)</w:t>
            </w:r>
          </w:p>
        </w:tc>
        <w:tc>
          <w:tcPr/>
          <w:p>
            <w:pPr>
              <w:pStyle w:val="Compact"/>
            </w:pPr>
            <w:r>
              <w:rPr>
                <w:b/>
                <w:bCs/>
              </w:rPr>
              <w:t xml:space="preserve">1</w:t>
            </w:r>
          </w:p>
        </w:tc>
      </w:tr>
    </w:tbl>
    <w:p>
      <w:pPr>
        <w:pStyle w:val="BodyText"/>
      </w:pPr>
      <w:r>
        <w:rPr>
          <w:b/>
          <w:bCs/>
        </w:rPr>
        <w:t xml:space="preserve">After Step 3</w:t>
      </w:r>
      <w:r>
        <w:t xml:space="preserve">: 900 + (7 − 1) = 906 unique records proceeding to title/abstract screening.</w:t>
      </w:r>
    </w:p>
    <w:bookmarkEnd w:id="65"/>
    <w:bookmarkStart w:id="66" w:name="cumulative-deduplication-summary"/>
    <w:p>
      <w:pPr>
        <w:pStyle w:val="Heading2"/>
      </w:pPr>
      <w:r>
        <w:t xml:space="preserve">Cumulative deduplication summary</w:t>
      </w:r>
    </w:p>
    <w:tbl>
      <w:tblPr>
        <w:tblStyle w:val="Table"/>
        <w:tblW w:type="pct" w:w="5000"/>
        <w:tblLayout w:type="fixed"/>
        <w:tblLook w:firstRow="1" w:lastRow="0" w:firstColumn="0" w:lastColumn="0" w:noHBand="0" w:noVBand="0" w:val="0020"/>
      </w:tblPr>
      <w:tblGrid>
        <w:gridCol w:w="815"/>
        <w:gridCol w:w="2445"/>
        <w:gridCol w:w="2445"/>
        <w:gridCol w:w="2212"/>
      </w:tblGrid>
      <w:tr>
        <w:trPr>
          <w:tblHeader w:val="on"/>
        </w:trPr>
        <w:tc>
          <w:tcPr/>
          <w:p>
            <w:pPr>
              <w:pStyle w:val="Compact"/>
            </w:pPr>
            <w:r>
              <w:t xml:space="preserve">Stage</w:t>
            </w:r>
          </w:p>
        </w:tc>
        <w:tc>
          <w:tcPr/>
          <w:p>
            <w:pPr>
              <w:pStyle w:val="Compact"/>
            </w:pPr>
            <w:r>
              <w:t xml:space="preserve">Records identified</w:t>
            </w:r>
          </w:p>
        </w:tc>
        <w:tc>
          <w:tcPr/>
          <w:p>
            <w:pPr>
              <w:pStyle w:val="Compact"/>
            </w:pPr>
            <w:r>
              <w:t xml:space="preserve">Duplicates removed</w:t>
            </w:r>
          </w:p>
        </w:tc>
        <w:tc>
          <w:tcPr/>
          <w:p>
            <w:pPr>
              <w:pStyle w:val="Compact"/>
            </w:pPr>
            <w:r>
              <w:t xml:space="preserve">Records retained</w:t>
            </w:r>
          </w:p>
        </w:tc>
      </w:tr>
      <w:tr>
        <w:tc>
          <w:tcPr/>
          <w:p>
            <w:pPr>
              <w:pStyle w:val="Compact"/>
            </w:pPr>
            <w:r>
              <w:t xml:space="preserve">Raw retrieval (3 databases)</w:t>
            </w:r>
          </w:p>
        </w:tc>
        <w:tc>
          <w:tcPr/>
          <w:p>
            <w:pPr>
              <w:pStyle w:val="Compact"/>
            </w:pPr>
            <w:r>
              <w:t xml:space="preserve">1,057</w:t>
            </w:r>
          </w:p>
        </w:tc>
        <w:tc>
          <w:tcPr/>
          <w:p>
            <w:pPr>
              <w:pStyle w:val="Compact"/>
            </w:pPr>
            <w:r>
              <w:t xml:space="preserve">—</w:t>
            </w:r>
          </w:p>
        </w:tc>
        <w:tc>
          <w:tcPr/>
          <w:p>
            <w:pPr>
              <w:pStyle w:val="Compact"/>
            </w:pPr>
            <w:r>
              <w:t xml:space="preserve">1,057</w:t>
            </w:r>
          </w:p>
        </w:tc>
      </w:tr>
      <w:tr>
        <w:tc>
          <w:tcPr/>
          <w:p>
            <w:pPr>
              <w:pStyle w:val="Compact"/>
            </w:pPr>
            <w:r>
              <w:t xml:space="preserve">Intra-Embase</w:t>
            </w:r>
          </w:p>
        </w:tc>
        <w:tc>
          <w:tcPr/>
          <w:p>
            <w:pPr>
              <w:pStyle w:val="Compact"/>
            </w:pPr>
            <w:r>
              <w:t xml:space="preserve">—</w:t>
            </w:r>
          </w:p>
        </w:tc>
        <w:tc>
          <w:tcPr/>
          <w:p>
            <w:pPr>
              <w:pStyle w:val="Compact"/>
            </w:pPr>
            <w:r>
              <w:t xml:space="preserve">11</w:t>
            </w:r>
          </w:p>
        </w:tc>
        <w:tc>
          <w:tcPr/>
          <w:p>
            <w:pPr>
              <w:pStyle w:val="Compact"/>
            </w:pPr>
            <w:r>
              <w:t xml:space="preserve">1,046</w:t>
            </w:r>
          </w:p>
        </w:tc>
      </w:tr>
      <w:tr>
        <w:tc>
          <w:tcPr/>
          <w:p>
            <w:pPr>
              <w:pStyle w:val="Compact"/>
            </w:pPr>
            <w:r>
              <w:t xml:space="preserve">PubMed ↔ Embase</w:t>
            </w:r>
          </w:p>
        </w:tc>
        <w:tc>
          <w:tcPr/>
          <w:p>
            <w:pPr>
              <w:pStyle w:val="Compact"/>
            </w:pPr>
            <w:r>
              <w:t xml:space="preserve">—</w:t>
            </w:r>
          </w:p>
        </w:tc>
        <w:tc>
          <w:tcPr/>
          <w:p>
            <w:pPr>
              <w:pStyle w:val="Compact"/>
            </w:pPr>
            <w:r>
              <w:t xml:space="preserve">139</w:t>
            </w:r>
          </w:p>
        </w:tc>
        <w:tc>
          <w:tcPr/>
          <w:p>
            <w:pPr>
              <w:pStyle w:val="Compact"/>
            </w:pPr>
            <w:r>
              <w:t xml:space="preserve">907</w:t>
            </w:r>
          </w:p>
        </w:tc>
      </w:tr>
      <w:tr>
        <w:tc>
          <w:tcPr/>
          <w:p>
            <w:pPr>
              <w:pStyle w:val="Compact"/>
            </w:pPr>
            <w:r>
              <w:t xml:space="preserve">CENTRAL ↔ existing pool</w:t>
            </w:r>
          </w:p>
        </w:tc>
        <w:tc>
          <w:tcPr/>
          <w:p>
            <w:pPr>
              <w:pStyle w:val="Compact"/>
            </w:pPr>
            <w:r>
              <w:t xml:space="preserve">—</w:t>
            </w:r>
          </w:p>
        </w:tc>
        <w:tc>
          <w:tcPr/>
          <w:p>
            <w:pPr>
              <w:pStyle w:val="Compact"/>
            </w:pPr>
            <w:r>
              <w:t xml:space="preserve">1</w:t>
            </w:r>
          </w:p>
        </w:tc>
        <w:tc>
          <w:tcPr/>
          <w:p>
            <w:pPr>
              <w:pStyle w:val="Compact"/>
            </w:pPr>
            <w:r>
              <w:t xml:space="preserve">906</w:t>
            </w:r>
          </w:p>
        </w:tc>
      </w:tr>
      <w:tr>
        <w:tc>
          <w:tcPr/>
          <w:p>
            <w:pPr>
              <w:pStyle w:val="Compact"/>
            </w:pPr>
            <w:r>
              <w:rPr>
                <w:b/>
                <w:bCs/>
              </w:rPr>
              <w:t xml:space="preserve">Total deduplication</w:t>
            </w:r>
          </w:p>
        </w:tc>
        <w:tc>
          <w:tcPr/>
          <w:p>
            <w:pPr>
              <w:pStyle w:val="Compact"/>
            </w:pPr>
            <w:r>
              <w:rPr>
                <w:b/>
                <w:bCs/>
              </w:rPr>
              <w:t xml:space="preserve">1,057</w:t>
            </w:r>
          </w:p>
        </w:tc>
        <w:tc>
          <w:tcPr/>
          <w:p>
            <w:pPr>
              <w:pStyle w:val="Compact"/>
            </w:pPr>
            <w:r>
              <w:rPr>
                <w:b/>
                <w:bCs/>
              </w:rPr>
              <w:t xml:space="preserve">151</w:t>
            </w:r>
          </w:p>
        </w:tc>
        <w:tc>
          <w:tcPr/>
          <w:p>
            <w:pPr>
              <w:pStyle w:val="Compact"/>
            </w:pPr>
            <w:r>
              <w:rPr>
                <w:b/>
                <w:bCs/>
              </w:rPr>
              <w:t xml:space="preserve">906</w:t>
            </w:r>
          </w:p>
        </w:tc>
      </w:tr>
    </w:tbl>
    <w:p>
      <w:pPr>
        <w:pStyle w:val="BodyText"/>
      </w:pPr>
      <w:r>
        <w:t xml:space="preserve">This is the figure cited in the main manuscript (Methods Section 2.4 and Results Section 3.1) and reproduced in the PRISMA flow diagram (Figure 1).</w:t>
      </w:r>
    </w:p>
    <w:bookmarkEnd w:id="66"/>
    <w:bookmarkStart w:id="67" w:name="why-this-matters-for-embase-embaselim"/>
    <w:p>
      <w:pPr>
        <w:pStyle w:val="Heading2"/>
      </w:pPr>
      <w:r>
        <w:t xml:space="preserve">Why this matters for Embase</w:t>
      </w:r>
      <w:r>
        <w:t xml:space="preserve"> </w:t>
      </w:r>
      <w:r>
        <w:rPr>
          <w:rStyle w:val="VerbatimChar"/>
        </w:rPr>
        <w:t xml:space="preserve">[embase]/lim</w:t>
      </w:r>
    </w:p>
    <w:p>
      <w:pPr>
        <w:pStyle w:val="FirstParagraph"/>
      </w:pPr>
      <w:r>
        <w:t xml:space="preserve">The Embase search applied the</w:t>
      </w:r>
      <w:r>
        <w:t xml:space="preserve"> </w:t>
      </w:r>
      <w:r>
        <w:rPr>
          <w:rStyle w:val="VerbatimChar"/>
        </w:rPr>
        <w:t xml:space="preserve">[embase]/lim</w:t>
      </w:r>
      <w:r>
        <w:t xml:space="preserve"> </w:t>
      </w:r>
      <w:r>
        <w:t xml:space="preserve">filter at retrieval time, which is intended to restrict results to records uniquely indexed in Embase (i.e., not also indexed in MEDLINE/PubMed). However,</w:t>
      </w:r>
      <w:r>
        <w:t xml:space="preserve"> </w:t>
      </w:r>
      <w:r>
        <w:rPr>
          <w:rStyle w:val="VerbatimChar"/>
        </w:rPr>
        <w:t xml:space="preserve">[embase]/lim</w:t>
      </w:r>
      <w:r>
        <w:t xml:space="preserve"> </w:t>
      </w:r>
      <w:r>
        <w:t xml:space="preserve">is not universally reliable:</w:t>
      </w:r>
      <w:r>
        <w:t xml:space="preserve"> </w:t>
      </w:r>
      <w:r>
        <w:t xml:space="preserve">- Some MEDLINE-indexed journals (especially smaller regional and Asian journals) are partially indexed in Embase, and the filter may exclude these even when the records are not in PubMed.</w:t>
      </w:r>
      <w:r>
        <w:t xml:space="preserve"> </w:t>
      </w:r>
      <w:r>
        <w:t xml:space="preserve">- Some PubMed-indexed records have Embase indexing records added after MEDLINE indexing, and the filter can miss these.</w:t>
      </w:r>
    </w:p>
    <w:p>
      <w:pPr>
        <w:pStyle w:val="BodyText"/>
      </w:pPr>
      <w:r>
        <w:t xml:space="preserve">For these reasons, the explicit PMID + title-based deduplication described above was used as the authoritative dedup procedure. The</w:t>
      </w:r>
      <w:r>
        <w:t xml:space="preserve"> </w:t>
      </w:r>
      <w:r>
        <w:rPr>
          <w:rStyle w:val="VerbatimChar"/>
        </w:rPr>
        <w:t xml:space="preserve">[embase]/lim</w:t>
      </w:r>
      <w:r>
        <w:t xml:space="preserve"> </w:t>
      </w:r>
      <w:r>
        <w:t xml:space="preserve">filter served only to reduce the raw retrieval volume; the actual removal of duplicates was performed downstream by the Step 1–3 workflow.</w:t>
      </w:r>
    </w:p>
    <w:bookmarkEnd w:id="67"/>
    <w:bookmarkStart w:id="68" w:name="software"/>
    <w:p>
      <w:pPr>
        <w:pStyle w:val="Heading2"/>
      </w:pPr>
      <w:r>
        <w:t xml:space="preserve">Software</w:t>
      </w:r>
    </w:p>
    <w:p>
      <w:pPr>
        <w:pStyle w:val="FirstParagraph"/>
      </w:pPr>
      <w:r>
        <w:t xml:space="preserve">Title normalization and fuzzy matching were performed in R 4.5.3 using the</w:t>
      </w:r>
      <w:r>
        <w:t xml:space="preserve"> </w:t>
      </w:r>
      <w:r>
        <w:rPr>
          <w:rStyle w:val="VerbatimChar"/>
        </w:rPr>
        <w:t xml:space="preserve">stringdist</w:t>
      </w:r>
      <w:r>
        <w:t xml:space="preserve"> </w:t>
      </w:r>
      <w:r>
        <w:t xml:space="preserve">package (version 0.9.x) for Levenshtein distance computation. TSV import and row-level deduplication used</w:t>
      </w:r>
      <w:r>
        <w:t xml:space="preserve"> </w:t>
      </w:r>
      <w:r>
        <w:rPr>
          <w:rStyle w:val="VerbatimChar"/>
        </w:rPr>
        <w:t xml:space="preserve">readr</w:t>
      </w:r>
      <w:r>
        <w:t xml:space="preserve"> </w:t>
      </w:r>
      <w:r>
        <w:t xml:space="preserve">and</w:t>
      </w:r>
      <w:r>
        <w:t xml:space="preserve"> </w:t>
      </w:r>
      <w:r>
        <w:rPr>
          <w:rStyle w:val="VerbatimChar"/>
        </w:rPr>
        <w:t xml:space="preserve">dplyr</w:t>
      </w:r>
      <w:r>
        <w:t xml:space="preserve">. The deduplication script is available from the corresponding author on reasonable request.</w:t>
      </w:r>
    </w:p>
    <w:bookmarkEnd w:id="68"/>
    <w:bookmarkEnd w:id="69"/>
    <w:bookmarkStart w:id="76" w:name="X12b2fcf1574c6533617864cf7252bbed9f71ebe"/>
    <w:p>
      <w:pPr>
        <w:pStyle w:val="Heading1"/>
      </w:pPr>
      <w:r>
        <w:t xml:space="preserve">Supplementary Material 3. Screening consensus record</w:t>
      </w:r>
    </w:p>
    <w:bookmarkStart w:id="26" w:name="pre-consensus-state"/>
    <w:p>
      <w:pPr>
        <w:pStyle w:val="Heading2"/>
      </w:pPr>
      <w:r>
        <w:t xml:space="preserve">1. Pre-consensus state</w:t>
      </w:r>
    </w:p>
    <w:p>
      <w:pPr>
        <w:pStyle w:val="Compact"/>
        <w:numPr>
          <w:ilvl w:val="0"/>
          <w:numId w:val="1005"/>
        </w:numPr>
      </w:pPr>
      <w:r>
        <w:t xml:space="preserve">900 records were screened independently at the title and abstract stage by two reviewers.</w:t>
      </w:r>
    </w:p>
    <w:p>
      <w:pPr>
        <w:pStyle w:val="Compact"/>
        <w:numPr>
          <w:ilvl w:val="0"/>
          <w:numId w:val="1005"/>
        </w:numPr>
      </w:pPr>
      <w:r>
        <w:t xml:space="preserve">Agreement was 93.9% (845 of 900 records); Cohen’s kappa was 0.572 (moderate).</w:t>
      </w:r>
    </w:p>
    <w:p>
      <w:pPr>
        <w:pStyle w:val="Compact"/>
        <w:numPr>
          <w:ilvl w:val="0"/>
          <w:numId w:val="1005"/>
        </w:numPr>
      </w:pPr>
      <w:r>
        <w:t xml:space="preserve">There were 55 disagreements (reviewer-1 include with reviewer-2 exclude, 34; reviewer-1 exclude with reviewer-2 include, 21). Eighteen of these were duplicate records (code E5) removed automatically, leaving 37 disagreements for consensus.</w:t>
      </w:r>
    </w:p>
    <w:bookmarkEnd w:id="26"/>
    <w:bookmarkStart w:id="27" w:name="consensus-workflow"/>
    <w:p>
      <w:pPr>
        <w:pStyle w:val="Heading2"/>
      </w:pPr>
      <w:r>
        <w:t xml:space="preserve">2. Consensus workflow</w:t>
      </w:r>
    </w:p>
    <w:p>
      <w:pPr>
        <w:pStyle w:val="FirstParagraph"/>
      </w:pPr>
      <w:r>
        <w:t xml:space="preserve">Disagreements were resolved by consensus after full-text assessment. Thirty records were resolved by agreement on exclusion. Seven records were flagged for joint discussion (IDs 54, 188, 253, 268, 458, 474, 549); one of these (ID 458) was reclassified to agreement on exclusion after a title re-check confirmed complication-only reporting, leaving 6 flagged entries that were resolved by independent blinded second-reviewer adjudication.</w:t>
      </w:r>
    </w:p>
    <w:bookmarkEnd w:id="27"/>
    <w:bookmarkStart w:id="28" w:name="final-flag-adjudication-6-entries"/>
    <w:p>
      <w:pPr>
        <w:pStyle w:val="Heading2"/>
      </w:pPr>
      <w:r>
        <w:t xml:space="preserve">3. Final flag adjudication (6 entries)</w:t>
      </w:r>
    </w:p>
    <w:tbl>
      <w:tblPr>
        <w:tblStyle w:val="Table"/>
        <w:tblW w:type="pct" w:w="5000"/>
        <w:tblLayout w:type="fixed"/>
        <w:tblLook w:firstRow="1" w:lastRow="0" w:firstColumn="0" w:lastColumn="0" w:noHBand="0" w:noVBand="0" w:val="0020"/>
      </w:tblPr>
      <w:tblGrid>
        <w:gridCol w:w="833"/>
        <w:gridCol w:w="1250"/>
        <w:gridCol w:w="4168"/>
        <w:gridCol w:w="1667"/>
      </w:tblGrid>
      <w:tr>
        <w:trPr>
          <w:tblHeader w:val="on"/>
        </w:trPr>
        <w:tc>
          <w:tcPr/>
          <w:p>
            <w:pPr>
              <w:pStyle w:val="Compact"/>
            </w:pPr>
            <w:r>
              <w:t xml:space="preserve">ID</w:t>
            </w:r>
          </w:p>
        </w:tc>
        <w:tc>
          <w:tcPr/>
          <w:p>
            <w:pPr>
              <w:pStyle w:val="Compact"/>
            </w:pPr>
            <w:r>
              <w:t xml:space="preserve">Year</w:t>
            </w:r>
          </w:p>
        </w:tc>
        <w:tc>
          <w:tcPr/>
          <w:p>
            <w:pPr>
              <w:pStyle w:val="Compact"/>
            </w:pPr>
            <w:r>
              <w:t xml:space="preserve">Consensus decision</w:t>
            </w:r>
          </w:p>
        </w:tc>
        <w:tc>
          <w:tcPr/>
          <w:p>
            <w:pPr>
              <w:pStyle w:val="Compact"/>
            </w:pPr>
            <w:r>
              <w:t xml:space="preserve">Reason</w:t>
            </w:r>
          </w:p>
        </w:tc>
      </w:tr>
      <w:tr>
        <w:tc>
          <w:tcPr/>
          <w:p>
            <w:pPr>
              <w:pStyle w:val="Compact"/>
            </w:pPr>
            <w:r>
              <w:t xml:space="preserve">54</w:t>
            </w:r>
          </w:p>
        </w:tc>
        <w:tc>
          <w:tcPr/>
          <w:p>
            <w:pPr>
              <w:pStyle w:val="Compact"/>
            </w:pPr>
            <w:r>
              <w:t xml:space="preserve">2023</w:t>
            </w:r>
          </w:p>
        </w:tc>
        <w:tc>
          <w:tcPr/>
          <w:p>
            <w:pPr>
              <w:pStyle w:val="Compact"/>
            </w:pPr>
            <w:r>
              <w:t xml:space="preserve">Exclude (F8)</w:t>
            </w:r>
          </w:p>
        </w:tc>
        <w:tc>
          <w:tcPr/>
          <w:p>
            <w:pPr>
              <w:pStyle w:val="Compact"/>
            </w:pPr>
            <w:r>
              <w:t xml:space="preserve">Dual-layer spectral CT versus CBCT, n = 10; CBCT-arm effective sample insufficient</w:t>
            </w:r>
          </w:p>
        </w:tc>
      </w:tr>
      <w:tr>
        <w:tc>
          <w:tcPr/>
          <w:p>
            <w:pPr>
              <w:pStyle w:val="Compact"/>
            </w:pPr>
            <w:r>
              <w:t xml:space="preserve">188</w:t>
            </w:r>
          </w:p>
        </w:tc>
        <w:tc>
          <w:tcPr/>
          <w:p>
            <w:pPr>
              <w:pStyle w:val="Compact"/>
            </w:pPr>
            <w:r>
              <w:t xml:space="preserve">2014</w:t>
            </w:r>
          </w:p>
        </w:tc>
        <w:tc>
          <w:tcPr/>
          <w:p>
            <w:pPr>
              <w:pStyle w:val="Compact"/>
            </w:pPr>
            <w:r>
              <w:t xml:space="preserve">Exclude (F7)</w:t>
            </w:r>
          </w:p>
        </w:tc>
        <w:tc>
          <w:tcPr/>
          <w:p>
            <w:pPr>
              <w:pStyle w:val="Compact"/>
            </w:pPr>
            <w:r>
              <w:t xml:space="preserve">Cohort 2009–2011 overlaps Jiao 2016</w:t>
            </w:r>
          </w:p>
        </w:tc>
      </w:tr>
      <w:tr>
        <w:tc>
          <w:tcPr/>
          <w:p>
            <w:pPr>
              <w:pStyle w:val="Compact"/>
            </w:pPr>
            <w:r>
              <w:t xml:space="preserve">253</w:t>
            </w:r>
          </w:p>
        </w:tc>
        <w:tc>
          <w:tcPr/>
          <w:p>
            <w:pPr>
              <w:pStyle w:val="Compact"/>
            </w:pPr>
            <w:r>
              <w:t xml:space="preserve">2026</w:t>
            </w:r>
          </w:p>
        </w:tc>
        <w:tc>
          <w:tcPr/>
          <w:p>
            <w:pPr>
              <w:pStyle w:val="Compact"/>
            </w:pPr>
            <w:r>
              <w:t xml:space="preserve">Include (qualitative; subsequently bivariate-eligible)</w:t>
            </w:r>
          </w:p>
        </w:tc>
        <w:tc>
          <w:tcPr/>
          <w:p>
            <w:pPr>
              <w:pStyle w:val="Compact"/>
            </w:pPr>
            <w:r>
              <w:t xml:space="preserve">99mTc-MIBI versus CBCT comparative, n = 115; reports diagnostic accuracy and complications</w:t>
            </w:r>
          </w:p>
        </w:tc>
      </w:tr>
      <w:tr>
        <w:tc>
          <w:tcPr/>
          <w:p>
            <w:pPr>
              <w:pStyle w:val="Compact"/>
            </w:pPr>
            <w:r>
              <w:t xml:space="preserve">268</w:t>
            </w:r>
          </w:p>
        </w:tc>
        <w:tc>
          <w:tcPr/>
          <w:p>
            <w:pPr>
              <w:pStyle w:val="Compact"/>
            </w:pPr>
            <w:r>
              <w:t xml:space="preserve">2025</w:t>
            </w:r>
          </w:p>
        </w:tc>
        <w:tc>
          <w:tcPr/>
          <w:p>
            <w:pPr>
              <w:pStyle w:val="Compact"/>
            </w:pPr>
            <w:r>
              <w:t xml:space="preserve">Exclude (F3)</w:t>
            </w:r>
          </w:p>
        </w:tc>
        <w:tc>
          <w:tcPr/>
          <w:p>
            <w:pPr>
              <w:pStyle w:val="Compact"/>
            </w:pPr>
            <w:r>
              <w:t xml:space="preserve">Robot-assisted MRI–CBCT mixed-organ; lung-only data not separable</w:t>
            </w:r>
          </w:p>
        </w:tc>
      </w:tr>
      <w:tr>
        <w:tc>
          <w:tcPr/>
          <w:p>
            <w:pPr>
              <w:pStyle w:val="Compact"/>
            </w:pPr>
            <w:r>
              <w:t xml:space="preserve">474</w:t>
            </w:r>
          </w:p>
        </w:tc>
        <w:tc>
          <w:tcPr/>
          <w:p>
            <w:pPr>
              <w:pStyle w:val="Compact"/>
            </w:pPr>
            <w:r>
              <w:t xml:space="preserve">2023</w:t>
            </w:r>
          </w:p>
        </w:tc>
        <w:tc>
          <w:tcPr/>
          <w:p>
            <w:pPr>
              <w:pStyle w:val="Compact"/>
            </w:pPr>
            <w:r>
              <w:t xml:space="preserve">Include (qualitative)</w:t>
            </w:r>
          </w:p>
        </w:tc>
        <w:tc>
          <w:tcPr/>
          <w:p>
            <w:pPr>
              <w:pStyle w:val="Compact"/>
            </w:pPr>
            <w:r>
              <w:t xml:space="preserve">CBCT with needle guidance (n = 41) versus CT (n = 69); reports positive rate and complications</w:t>
            </w:r>
          </w:p>
        </w:tc>
      </w:tr>
      <w:tr>
        <w:tc>
          <w:tcPr/>
          <w:p>
            <w:pPr>
              <w:pStyle w:val="Compact"/>
            </w:pPr>
            <w:r>
              <w:t xml:space="preserve">549</w:t>
            </w:r>
          </w:p>
        </w:tc>
        <w:tc>
          <w:tcPr/>
          <w:p>
            <w:pPr>
              <w:pStyle w:val="Compact"/>
            </w:pPr>
            <w:r>
              <w:t xml:space="preserve">2022</w:t>
            </w:r>
          </w:p>
        </w:tc>
        <w:tc>
          <w:tcPr/>
          <w:p>
            <w:pPr>
              <w:pStyle w:val="Compact"/>
            </w:pPr>
            <w:r>
              <w:t xml:space="preserve">Exclude (F3)</w:t>
            </w:r>
          </w:p>
        </w:tc>
        <w:tc>
          <w:tcPr/>
          <w:p>
            <w:pPr>
              <w:pStyle w:val="Compact"/>
            </w:pPr>
            <w:r>
              <w:t xml:space="preserve">“Thoracic neoplasms,”</w:t>
            </w:r>
            <w:r>
              <w:t xml:space="preserve"> </w:t>
            </w:r>
            <w:r>
              <w:t xml:space="preserve">n = 139; mediastinal and chest-wall targets probable</w:t>
            </w:r>
          </w:p>
        </w:tc>
      </w:tr>
    </w:tbl>
    <w:p>
      <w:pPr>
        <w:pStyle w:val="BodyText"/>
      </w:pPr>
      <w:r>
        <w:t xml:space="preserve">For ID 253 (Yuan 2026), the CBCT arm (n = 81) subsequently yielded an extractable two-by-two table (TP 50, FP 0, FN 5, TN 26) and was added to the bivariate synthesis.</w:t>
      </w:r>
    </w:p>
    <w:bookmarkEnd w:id="28"/>
    <w:bookmarkStart w:id="29" w:name="study-counts"/>
    <w:p>
      <w:pPr>
        <w:pStyle w:val="Heading2"/>
      </w:pPr>
      <w:r>
        <w:t xml:space="preserve">4. Study counts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n</w:t>
            </w:r>
          </w:p>
        </w:tc>
        <w:tc>
          <w:tcPr/>
          <w:p>
            <w:pPr>
              <w:pStyle w:val="Compact"/>
            </w:pPr>
            <w:r>
              <w:t xml:space="preserve">Derivation</w:t>
            </w:r>
          </w:p>
        </w:tc>
      </w:tr>
      <w:tr>
        <w:tc>
          <w:tcPr/>
          <w:p>
            <w:pPr>
              <w:pStyle w:val="Compact"/>
            </w:pPr>
            <w:r>
              <w:t xml:space="preserve">Full-text records reviewed</w:t>
            </w:r>
          </w:p>
        </w:tc>
        <w:tc>
          <w:tcPr/>
          <w:p>
            <w:pPr>
              <w:pStyle w:val="Compact"/>
            </w:pPr>
            <w:r>
              <w:t xml:space="preserve">78</w:t>
            </w:r>
          </w:p>
        </w:tc>
        <w:tc>
          <w:tcPr/>
          <w:p>
            <w:pPr>
              <w:pStyle w:val="Compact"/>
            </w:pPr>
            <w:r>
              <w:t xml:space="preserve">76 screening records plus 2 flag additions</w:t>
            </w:r>
          </w:p>
        </w:tc>
      </w:tr>
      <w:tr>
        <w:tc>
          <w:tcPr/>
          <w:p>
            <w:pPr>
              <w:pStyle w:val="Compact"/>
            </w:pPr>
            <w:r>
              <w:t xml:space="preserve">Full-text records excluded</w:t>
            </w:r>
          </w:p>
        </w:tc>
        <w:tc>
          <w:tcPr/>
          <w:p>
            <w:pPr>
              <w:pStyle w:val="Compact"/>
            </w:pPr>
            <w:r>
              <w:t xml:space="preserve">54</w:t>
            </w:r>
          </w:p>
        </w:tc>
        <w:tc>
          <w:tcPr/>
          <w:p>
            <w:pPr>
              <w:pStyle w:val="Compact"/>
            </w:pPr>
            <w:r>
              <w:t xml:space="preserve">48 excluded at full-text screening plus 6 post-consensus downgrades (IDs 2, 55, 88, 160, 165, 180)</w:t>
            </w:r>
          </w:p>
        </w:tc>
      </w:tr>
      <w:tr>
        <w:tc>
          <w:tcPr/>
          <w:p>
            <w:pPr>
              <w:pStyle w:val="Compact"/>
            </w:pPr>
            <w:r>
              <w:t xml:space="preserve">Studies eligible for qualitative synthesis</w:t>
            </w:r>
          </w:p>
        </w:tc>
        <w:tc>
          <w:tcPr/>
          <w:p>
            <w:pPr>
              <w:pStyle w:val="Compact"/>
            </w:pPr>
            <w:r>
              <w:t xml:space="preserve">24</w:t>
            </w:r>
          </w:p>
        </w:tc>
        <w:tc>
          <w:tcPr/>
          <w:p>
            <w:pPr>
              <w:pStyle w:val="Compact"/>
            </w:pPr>
            <w:r>
              <w:t xml:space="preserve">28 include − 6 downgrades + 2 flag inclusions (IDs 253, 474)</w:t>
            </w:r>
          </w:p>
        </w:tc>
      </w:tr>
      <w:tr>
        <w:tc>
          <w:tcPr/>
          <w:p>
            <w:pPr>
              <w:pStyle w:val="Compact"/>
            </w:pPr>
            <w:r>
              <w:t xml:space="preserve">Studies in the bivariate meta-analysis</w:t>
            </w:r>
          </w:p>
        </w:tc>
        <w:tc>
          <w:tcPr/>
          <w:p>
            <w:pPr>
              <w:pStyle w:val="Compact"/>
            </w:pPr>
            <w:r>
              <w:t xml:space="preserve">22</w:t>
            </w:r>
          </w:p>
        </w:tc>
        <w:tc>
          <w:tcPr/>
          <w:p>
            <w:pPr>
              <w:pStyle w:val="Compact"/>
            </w:pPr>
            <w:r>
              <w:t xml:space="preserve">Two-by-two table extractable</w:t>
            </w:r>
          </w:p>
        </w:tc>
      </w:tr>
      <w:tr>
        <w:tc>
          <w:tcPr/>
          <w:p>
            <w:pPr>
              <w:pStyle w:val="Compact"/>
            </w:pPr>
            <w:r>
              <w:t xml:space="preserve">Narrative-only studies</w:t>
            </w:r>
          </w:p>
        </w:tc>
        <w:tc>
          <w:tcPr/>
          <w:p>
            <w:pPr>
              <w:pStyle w:val="Compact"/>
            </w:pPr>
            <w:r>
              <w:t xml:space="preserve">2</w:t>
            </w:r>
          </w:p>
        </w:tc>
        <w:tc>
          <w:tcPr/>
          <w:p>
            <w:pPr>
              <w:pStyle w:val="Compact"/>
            </w:pPr>
            <w:r>
              <w:t xml:space="preserve">IDs 120 (Floridi C 2019), 474 (Huang 2023)</w:t>
            </w:r>
          </w:p>
        </w:tc>
      </w:tr>
    </w:tbl>
    <w:bookmarkEnd w:id="29"/>
    <w:bookmarkStart w:id="30" w:name="a.-narrative-only-inclusions-n-2"/>
    <w:p>
      <w:pPr>
        <w:pStyle w:val="Heading2"/>
      </w:pPr>
      <w:r>
        <w:t xml:space="preserve">4a. Narrative-only inclusions (n = 2)</w:t>
      </w:r>
    </w:p>
    <w:p>
      <w:pPr>
        <w:pStyle w:val="FirstParagraph"/>
      </w:pPr>
      <w:r>
        <w:t xml:space="preserve">Two studies met qualitative-synthesis eligibility (CBCT-guided percutaneous transthoracic needle biopsy, 10 or more patients, diagnostic-outcome or complication data) but could not contribute to the bivariate meta-analysis because two-by-two data were not reconstructable within the three-level extraction hierarchy. Author contact to recover unreported cell data was not undertaken.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ID</w:t>
            </w:r>
          </w:p>
        </w:tc>
        <w:tc>
          <w:tcPr/>
          <w:p>
            <w:pPr>
              <w:pStyle w:val="Compact"/>
            </w:pPr>
            <w:r>
              <w:t xml:space="preserve">First author</w:t>
            </w:r>
          </w:p>
        </w:tc>
        <w:tc>
          <w:tcPr/>
          <w:p>
            <w:pPr>
              <w:pStyle w:val="Compact"/>
            </w:pPr>
            <w:r>
              <w:t xml:space="preserve">Year</w:t>
            </w:r>
          </w:p>
        </w:tc>
        <w:tc>
          <w:tcPr/>
          <w:p>
            <w:pPr>
              <w:pStyle w:val="Compact"/>
            </w:pPr>
            <w:r>
              <w:t xml:space="preserve">Source</w:t>
            </w:r>
          </w:p>
        </w:tc>
        <w:tc>
          <w:tcPr/>
          <w:p>
            <w:pPr>
              <w:pStyle w:val="Compact"/>
            </w:pPr>
            <w:r>
              <w:t xml:space="preserve">Reason retained as narrative-only</w:t>
            </w:r>
          </w:p>
        </w:tc>
      </w:tr>
      <w:tr>
        <w:tc>
          <w:tcPr/>
          <w:p>
            <w:pPr>
              <w:pStyle w:val="Compact"/>
            </w:pPr>
            <w:r>
              <w:t xml:space="preserve">120</w:t>
            </w:r>
          </w:p>
        </w:tc>
        <w:tc>
          <w:tcPr/>
          <w:p>
            <w:pPr>
              <w:pStyle w:val="Compact"/>
            </w:pPr>
            <w:r>
              <w:t xml:space="preserve">Floridi C</w:t>
            </w:r>
          </w:p>
        </w:tc>
        <w:tc>
          <w:tcPr/>
          <w:p>
            <w:pPr>
              <w:pStyle w:val="Compact"/>
            </w:pPr>
            <w:r>
              <w:t xml:space="preserve">2019</w:t>
            </w:r>
          </w:p>
        </w:tc>
        <w:tc>
          <w:tcPr/>
          <w:p>
            <w:pPr>
              <w:pStyle w:val="Compact"/>
            </w:pPr>
            <w:r>
              <w:t xml:space="preserve">Cardiovasc Intervent Radiol 2019;42(11):1644–8 (PMID 31218410; doi:10.1007/s00270-019-02270-1)</w:t>
            </w:r>
          </w:p>
        </w:tc>
        <w:tc>
          <w:tcPr/>
          <w:p>
            <w:pPr>
              <w:pStyle w:val="Compact"/>
            </w:pPr>
            <w:r>
              <w:t xml:space="preserve">Diagnostic yield reported with a denominator convention that does not permit direct FP and TN reconstruction under a common intention-to-diagnose rule</w:t>
            </w:r>
          </w:p>
        </w:tc>
      </w:tr>
      <w:tr>
        <w:tc>
          <w:tcPr/>
          <w:p>
            <w:pPr>
              <w:pStyle w:val="Compact"/>
            </w:pPr>
            <w:r>
              <w:t xml:space="preserve">474</w:t>
            </w:r>
          </w:p>
        </w:tc>
        <w:tc>
          <w:tcPr/>
          <w:p>
            <w:pPr>
              <w:pStyle w:val="Compact"/>
            </w:pPr>
            <w:r>
              <w:t xml:space="preserve">Huang Z</w:t>
            </w:r>
          </w:p>
        </w:tc>
        <w:tc>
          <w:tcPr/>
          <w:p>
            <w:pPr>
              <w:pStyle w:val="Compact"/>
            </w:pPr>
            <w:r>
              <w:t xml:space="preserve">2023</w:t>
            </w:r>
          </w:p>
        </w:tc>
        <w:tc>
          <w:tcPr/>
          <w:p>
            <w:pPr>
              <w:pStyle w:val="Compact"/>
            </w:pPr>
            <w:r>
              <w:t xml:space="preserve">J Interv Radiol (China) 2023;32(10):985–8 (doi:10.3969/j1008-794X.2023.10.008; not indexed in MEDLINE)</w:t>
            </w:r>
          </w:p>
        </w:tc>
        <w:tc>
          <w:tcPr/>
          <w:p>
            <w:pPr>
              <w:pStyle w:val="Compact"/>
            </w:pPr>
            <w:r>
              <w:t xml:space="preserve">Chinese-language publication; full text not retrievable; abstract-only metrics insufficient for CBCT-arm two-by-two reconstruction</w:t>
            </w:r>
          </w:p>
        </w:tc>
      </w:tr>
    </w:tbl>
    <w:p>
      <w:pPr>
        <w:pStyle w:val="BodyText"/>
      </w:pPr>
      <w:r>
        <w:t xml:space="preserve">Both studies are referenced qualitatively in the Discussion where relevant.</w:t>
      </w:r>
    </w:p>
    <w:bookmarkEnd w:id="30"/>
    <w:bookmarkEnd w:id="31"/>
    <w:bookmarkStart w:id="39" w:name="X5fffb1624b48bebd78cbeab6a9019bd137d1c1b"/>
    <w:p>
      <w:pPr>
        <w:pStyle w:val="Heading1"/>
      </w:pPr>
      <w:r>
        <w:t xml:space="preserve">Supplementary Material 4. Inter-reviewer agreement metrics</w:t>
      </w:r>
    </w:p>
    <w:p>
      <w:pPr>
        <w:pStyle w:val="FirstParagraph"/>
      </w:pPr>
      <w:r>
        <w:t xml:space="preserve">This file details the comparison of Cohen’s κ and Gwet’s AC1 underlying the single-sentence summary reported in the Methods.</w:t>
      </w:r>
    </w:p>
    <w:p>
      <w:r>
        <w:pict>
          <v:rect style="width:0;height:1.5pt" o:hralign="center" o:hrstd="t" o:hr="t"/>
        </w:pict>
      </w:r>
    </w:p>
    <w:bookmarkStart w:id="70" w:name="context"/>
    <w:p>
      <w:pPr>
        <w:pStyle w:val="Heading2"/>
      </w:pPr>
      <w:r>
        <w:t xml:space="preserve">Context</w:t>
      </w:r>
    </w:p>
    <w:p>
      <w:pPr>
        <w:pStyle w:val="FirstParagraph"/>
      </w:pPr>
      <w:r>
        <w:t xml:space="preserve">Two reviewers (Reviewer 1 and Reviewer 2) independently performed QUADAS-2 risk-of-bias assessments across all four domains (patient selection, index test, reference standard, and flow and timing) for all 22 included studies.</w:t>
      </w:r>
    </w:p>
    <w:p>
      <w:pPr>
        <w:pStyle w:val="BodyText"/>
      </w:pPr>
      <w:r>
        <w:t xml:space="preserve">Aggregate item-level inter-reviewer agreement across the 22 studies was 88.6% (78 of 88 domain-level assessments). Agreement was perfect for Domains 2 (index test), 3 (reference standard), and 4 (flow and timing) — Cohen’s κ = 1.000 for each. All 10 disagreements were within Domain 1 (patient selection).</w:t>
      </w:r>
    </w:p>
    <w:bookmarkEnd w:id="70"/>
    <w:bookmarkStart w:id="71" w:name="domain-1-disagreements-κ-vs-ac1"/>
    <w:p>
      <w:pPr>
        <w:pStyle w:val="Heading2"/>
      </w:pPr>
      <w:r>
        <w:t xml:space="preserve">Domain 1 disagreements — κ vs AC1</w:t>
      </w:r>
    </w:p>
    <w:p>
      <w:pPr>
        <w:pStyle w:val="FirstParagraph"/>
      </w:pPr>
      <w:r>
        <w:t xml:space="preserve">For Domain 1 (patient selection), the raw agreement was 54.5% (12 of 22 studies), Cohen’s κ was 0.091, and Gwet’s AC1 was 0.091.</w:t>
      </w:r>
    </w:p>
    <w:p>
      <w:pPr>
        <w:pStyle w:val="BodyText"/>
      </w:pPr>
      <w:r>
        <w:t xml:space="preserve">Cohen’s κ is well known to be paradoxically low when the marginal distributions of categorical ratings are skewed (the prevalence-paradox), even when raw agreement is moderate. Gwet’s AC1 was developed specifically to address this paradox by replacing the chance-agreement term in the κ formula with a marginally invariant alternative.</w:t>
      </w:r>
    </w:p>
    <w:p>
      <w:pPr>
        <w:pStyle w:val="BodyText"/>
      </w:pPr>
      <w:r>
        <w:t xml:space="preserve">In the present case, the two metrics were identical to three decimal places (κ = 0.091, AC1 = 0.091). This equivalence indicates that the low chance-corrected agreement is</w:t>
      </w:r>
      <w:r>
        <w:t xml:space="preserve"> </w:t>
      </w:r>
      <w:r>
        <w:rPr>
          <w:b/>
          <w:bCs/>
        </w:rPr>
        <w:t xml:space="preserve">not</w:t>
      </w:r>
      <w:r>
        <w:t xml:space="preserve"> </w:t>
      </w:r>
      <w:r>
        <w:t xml:space="preserve">an artifact of skewed marginals: the marginal distributions for the two reviewers were evenly balanced (Reviewer 1: 11 Low / 11 Unclear; Reviewer 2: 11 Low / 11 Unclear). The low agreement therefore reflects genuine subjective disagreement on the boundary between Low and Unclear risk for retrospective cohorts without explicit consecutive-enrollment language.</w:t>
      </w:r>
    </w:p>
    <w:bookmarkEnd w:id="71"/>
    <w:bookmarkStart w:id="72" w:name="resolution"/>
    <w:p>
      <w:pPr>
        <w:pStyle w:val="Heading2"/>
      </w:pPr>
      <w:r>
        <w:t xml:space="preserve">Resolution</w:t>
      </w:r>
    </w:p>
    <w:p>
      <w:pPr>
        <w:pStyle w:val="FirstParagraph"/>
      </w:pPr>
      <w:r>
        <w:t xml:space="preserve">Disagreements were resolved by consensus discussion on April 19, 2026, under a pre-specified rule requiring a</w:t>
      </w:r>
      <w:r>
        <w:t xml:space="preserve"> </w:t>
      </w:r>
      <w:r>
        <w:t xml:space="preserve">“consecutive”</w:t>
      </w:r>
      <w:r>
        <w:t xml:space="preserve"> </w:t>
      </w:r>
      <w:r>
        <w:t xml:space="preserve">or</w:t>
      </w:r>
      <w:r>
        <w:t xml:space="preserve"> </w:t>
      </w:r>
      <w:r>
        <w:t xml:space="preserve">“random sampling”</w:t>
      </w:r>
      <w:r>
        <w:t xml:space="preserve"> </w:t>
      </w:r>
      <w:r>
        <w:t xml:space="preserve">phrase for a Low rating. Of the 10 Domain 1 disagreements:</w:t>
      </w:r>
      <w:r>
        <w:t xml:space="preserve"> </w:t>
      </w:r>
      <w:r>
        <w:t xml:space="preserve">- 8 resolved to Low (explicit consecutive or random language present on re-review)</w:t>
      </w:r>
      <w:r>
        <w:t xml:space="preserve"> </w:t>
      </w:r>
      <w:r>
        <w:t xml:space="preserve">- 2 resolved to Unclear (Hwang 2010 (2) and Ren 2022 (18))</w:t>
      </w:r>
    </w:p>
    <w:bookmarkEnd w:id="72"/>
    <w:bookmarkStart w:id="73" w:name="marginal-distributions-domain-1"/>
    <w:p>
      <w:pPr>
        <w:pStyle w:val="Heading2"/>
      </w:pPr>
      <w:r>
        <w:t xml:space="preserve">Marginal distributions (Domain 1)</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Reviewer</w:t>
            </w:r>
          </w:p>
        </w:tc>
        <w:tc>
          <w:tcPr/>
          <w:p>
            <w:pPr>
              <w:pStyle w:val="Compact"/>
            </w:pPr>
            <w:r>
              <w:t xml:space="preserve">Low (n)</w:t>
            </w:r>
          </w:p>
        </w:tc>
        <w:tc>
          <w:tcPr/>
          <w:p>
            <w:pPr>
              <w:pStyle w:val="Compact"/>
            </w:pPr>
            <w:r>
              <w:t xml:space="preserve">Unclear (n)</w:t>
            </w:r>
          </w:p>
        </w:tc>
        <w:tc>
          <w:tcPr/>
          <w:p>
            <w:pPr>
              <w:pStyle w:val="Compact"/>
            </w:pPr>
            <w:r>
              <w:t xml:space="preserve">High (n)</w:t>
            </w:r>
          </w:p>
        </w:tc>
        <w:tc>
          <w:tcPr/>
          <w:p>
            <w:pPr>
              <w:pStyle w:val="Compact"/>
            </w:pPr>
            <w:r>
              <w:t xml:space="preserve">Total</w:t>
            </w:r>
          </w:p>
        </w:tc>
      </w:tr>
      <w:tr>
        <w:tc>
          <w:tcPr/>
          <w:p>
            <w:pPr>
              <w:pStyle w:val="Compact"/>
            </w:pPr>
            <w:r>
              <w:t xml:space="preserve">Reviewer 1 (initial)</w:t>
            </w:r>
          </w:p>
        </w:tc>
        <w:tc>
          <w:tcPr/>
          <w:p>
            <w:pPr>
              <w:pStyle w:val="Compact"/>
            </w:pPr>
            <w:r>
              <w:t xml:space="preserve">11</w:t>
            </w:r>
          </w:p>
        </w:tc>
        <w:tc>
          <w:tcPr/>
          <w:p>
            <w:pPr>
              <w:pStyle w:val="Compact"/>
            </w:pPr>
            <w:r>
              <w:t xml:space="preserve">11</w:t>
            </w:r>
          </w:p>
        </w:tc>
        <w:tc>
          <w:tcPr/>
          <w:p>
            <w:pPr>
              <w:pStyle w:val="Compact"/>
            </w:pPr>
            <w:r>
              <w:t xml:space="preserve">0</w:t>
            </w:r>
          </w:p>
        </w:tc>
        <w:tc>
          <w:tcPr/>
          <w:p>
            <w:pPr>
              <w:pStyle w:val="Compact"/>
            </w:pPr>
            <w:r>
              <w:t xml:space="preserve">22</w:t>
            </w:r>
          </w:p>
        </w:tc>
      </w:tr>
      <w:tr>
        <w:tc>
          <w:tcPr/>
          <w:p>
            <w:pPr>
              <w:pStyle w:val="Compact"/>
            </w:pPr>
            <w:r>
              <w:t xml:space="preserve">Reviewer 2 (initial, blinded)</w:t>
            </w:r>
          </w:p>
        </w:tc>
        <w:tc>
          <w:tcPr/>
          <w:p>
            <w:pPr>
              <w:pStyle w:val="Compact"/>
            </w:pPr>
            <w:r>
              <w:t xml:space="preserve">11</w:t>
            </w:r>
          </w:p>
        </w:tc>
        <w:tc>
          <w:tcPr/>
          <w:p>
            <w:pPr>
              <w:pStyle w:val="Compact"/>
            </w:pPr>
            <w:r>
              <w:t xml:space="preserve">11</w:t>
            </w:r>
          </w:p>
        </w:tc>
        <w:tc>
          <w:tcPr/>
          <w:p>
            <w:pPr>
              <w:pStyle w:val="Compact"/>
            </w:pPr>
            <w:r>
              <w:t xml:space="preserve">0</w:t>
            </w:r>
          </w:p>
        </w:tc>
        <w:tc>
          <w:tcPr/>
          <w:p>
            <w:pPr>
              <w:pStyle w:val="Compact"/>
            </w:pPr>
            <w:r>
              <w:t xml:space="preserve">22</w:t>
            </w:r>
          </w:p>
        </w:tc>
      </w:tr>
      <w:tr>
        <w:tc>
          <w:tcPr/>
          <w:p>
            <w:pPr>
              <w:pStyle w:val="Compact"/>
            </w:pPr>
            <w:r>
              <w:t xml:space="preserve">Consensus (post-adjudication)</w:t>
            </w:r>
          </w:p>
        </w:tc>
        <w:tc>
          <w:tcPr/>
          <w:p>
            <w:pPr>
              <w:pStyle w:val="Compact"/>
            </w:pPr>
            <w:r>
              <w:t xml:space="preserve">14</w:t>
            </w:r>
          </w:p>
        </w:tc>
        <w:tc>
          <w:tcPr/>
          <w:p>
            <w:pPr>
              <w:pStyle w:val="Compact"/>
            </w:pPr>
            <w:r>
              <w:t xml:space="preserve">8</w:t>
            </w:r>
          </w:p>
        </w:tc>
        <w:tc>
          <w:tcPr/>
          <w:p>
            <w:pPr>
              <w:pStyle w:val="Compact"/>
            </w:pPr>
            <w:r>
              <w:t xml:space="preserve">0</w:t>
            </w:r>
          </w:p>
        </w:tc>
        <w:tc>
          <w:tcPr/>
          <w:p>
            <w:pPr>
              <w:pStyle w:val="Compact"/>
            </w:pPr>
            <w:r>
              <w:t xml:space="preserve">22</w:t>
            </w:r>
          </w:p>
        </w:tc>
      </w:tr>
    </w:tbl>
    <w:bookmarkEnd w:id="73"/>
    <w:bookmarkStart w:id="74" w:name="why-both-metrics-matter"/>
    <w:p>
      <w:pPr>
        <w:pStyle w:val="Heading2"/>
      </w:pPr>
      <w:r>
        <w:t xml:space="preserve">Why both metrics matter</w:t>
      </w:r>
    </w:p>
    <w:p>
      <w:pPr>
        <w:pStyle w:val="FirstParagraph"/>
      </w:pPr>
      <w:r>
        <w:t xml:space="preserve">Reporting both κ and AC1 is recommended when the marginal distribution of the rating categories may be unbalanced. In the present analysis, marginal balance precluded the prevalence-paradox; in other reviews where one rating category dominates (e.g., 95% Low / 5% High), AC1 will diverge sharply from κ, and the metric choice will materially change the reported agreement quality.</w:t>
      </w:r>
    </w:p>
    <w:bookmarkEnd w:id="74"/>
    <w:bookmarkStart w:id="75" w:name="references-cited-above"/>
    <w:p>
      <w:pPr>
        <w:pStyle w:val="Heading2"/>
      </w:pPr>
      <w:r>
        <w:t xml:space="preserve">References (cited above)</w:t>
      </w:r>
    </w:p>
    <w:p>
      <w:pPr>
        <w:pStyle w:val="Compact"/>
        <w:numPr>
          <w:ilvl w:val="0"/>
          <w:numId w:val="1010"/>
        </w:numPr>
      </w:pPr>
      <w:r>
        <w:t xml:space="preserve">Cohen J. A coefficient of agreement for nominal scales. Educ Psychol Meas. 1960;20(1):37–46.</w:t>
      </w:r>
    </w:p>
    <w:p>
      <w:pPr>
        <w:pStyle w:val="Compact"/>
        <w:numPr>
          <w:ilvl w:val="0"/>
          <w:numId w:val="1010"/>
        </w:numPr>
      </w:pPr>
      <w:r>
        <w:t xml:space="preserve">Gwet KL. Computing inter-rater reliability and its variance in the presence of high agreement. Br J Math Stat Psychol. 2008;61(Pt 1):29–48.</w:t>
      </w:r>
    </w:p>
    <w:p>
      <w:pPr>
        <w:pStyle w:val="Compact"/>
        <w:numPr>
          <w:ilvl w:val="0"/>
          <w:numId w:val="1010"/>
        </w:numPr>
      </w:pPr>
      <w:r>
        <w:t xml:space="preserve">Whiting PF, Rutjes AWS, Westwood ME, et al. QUADAS-2: a revised tool for the quality assessment of diagnostic accuracy studies. Ann Intern Med. 2011;155(8):529–536.</w:t>
      </w:r>
    </w:p>
    <w:bookmarkEnd w:id="75"/>
    <w:bookmarkEnd w:id="76"/>
    <w:bookmarkStart w:id="86" w:name="Xe7ccd02f65d5da4d654511cadb01ef2b8bbd7cb"/>
    <w:p>
      <w:pPr>
        <w:pStyle w:val="Heading1"/>
      </w:pPr>
      <w:r>
        <w:t xml:space="preserve">Supplementary Material 5. QUADAS-2 risk-of-bias assessment</w:t>
      </w:r>
    </w:p>
    <w:p>
      <w:pPr>
        <w:pStyle w:val="FirstParagraph"/>
      </w:pPr>
      <w:r>
        <w:t xml:space="preserve">Two reviewers independently rated each study, the second reviewer blinded to the first. Risk of bias and applicability were assessed with QUADAS-2 (Whiting et al. Ann Intern Med 2011) using domain-specific signalling questions tailored to CBCT-guided lung biopsy.</w:t>
      </w:r>
    </w:p>
    <w:p>
      <w:r>
        <w:pict>
          <v:rect style="width:0;height:1.5pt" o:hralign="center" o:hrstd="t" o:hr="t"/>
        </w:pict>
      </w:r>
    </w:p>
    <w:bookmarkStart w:id="32" w:name="X4f94c6563151c9028def97f3074313fa3aacda9"/>
    <w:p>
      <w:pPr>
        <w:pStyle w:val="Heading2"/>
      </w:pPr>
      <w:r>
        <w:t xml:space="preserve">1. Inter-rater agreement before adjudication</w:t>
      </w:r>
    </w:p>
    <w:p>
      <w:pPr>
        <w:pStyle w:val="FirstParagraph"/>
      </w:pPr>
      <w:r>
        <w:t xml:space="preserve">Per-study ratings were independently assigned by Reviewer 1 (1st round) and Reviewer 2 (blinded 2nd round), then compared for adjudication.</w:t>
      </w:r>
    </w:p>
    <w:tbl>
      <w:tblPr>
        <w:tblStyle w:val="Table"/>
        <w:tblW w:type="pct" w:w="5000"/>
        <w:tblLayout w:type="fixed"/>
        <w:tblLook w:firstRow="1" w:lastRow="0" w:firstColumn="0" w:lastColumn="0" w:noHBand="0" w:noVBand="0" w:val="0020"/>
      </w:tblPr>
      <w:tblGrid>
        <w:gridCol w:w="931"/>
        <w:gridCol w:w="1863"/>
        <w:gridCol w:w="1514"/>
        <w:gridCol w:w="1747"/>
        <w:gridCol w:w="1863"/>
      </w:tblGrid>
      <w:tr>
        <w:trPr>
          <w:tblHeader w:val="on"/>
        </w:trPr>
        <w:tc>
          <w:tcPr/>
          <w:p>
            <w:pPr>
              <w:pStyle w:val="Compact"/>
            </w:pPr>
            <w:r>
              <w:t xml:space="preserve">Domain</w:t>
            </w:r>
          </w:p>
        </w:tc>
        <w:tc>
          <w:tcPr/>
          <w:p>
            <w:pPr>
              <w:pStyle w:val="Compact"/>
            </w:pPr>
            <w:r>
              <w:t xml:space="preserve">Po (agreement)</w:t>
            </w:r>
          </w:p>
        </w:tc>
        <w:tc>
          <w:tcPr/>
          <w:p>
            <w:pPr>
              <w:pStyle w:val="Compact"/>
            </w:pPr>
            <w:r>
              <w:t xml:space="preserve">Pe (chance)</w:t>
            </w:r>
          </w:p>
        </w:tc>
        <w:tc>
          <w:tcPr/>
          <w:p>
            <w:pPr>
              <w:pStyle w:val="Compact"/>
            </w:pPr>
            <w:r>
              <w:t xml:space="preserve">Cohen’s kappa</w:t>
            </w:r>
          </w:p>
        </w:tc>
        <w:tc>
          <w:tcPr/>
          <w:p>
            <w:pPr>
              <w:pStyle w:val="Compact"/>
            </w:pPr>
            <w:r>
              <w:t xml:space="preserve">Interpretation</w:t>
            </w:r>
          </w:p>
        </w:tc>
      </w:tr>
      <w:tr>
        <w:tc>
          <w:tcPr/>
          <w:p>
            <w:pPr>
              <w:pStyle w:val="Compact"/>
            </w:pPr>
            <w:r>
              <w:t xml:space="preserve">D1 Risk (Patient Selection)</w:t>
            </w:r>
          </w:p>
        </w:tc>
        <w:tc>
          <w:tcPr/>
          <w:p>
            <w:pPr>
              <w:pStyle w:val="Compact"/>
            </w:pPr>
            <w:r>
              <w:t xml:space="preserve">0.545</w:t>
            </w:r>
          </w:p>
        </w:tc>
        <w:tc>
          <w:tcPr/>
          <w:p>
            <w:pPr>
              <w:pStyle w:val="Compact"/>
            </w:pPr>
            <w:r>
              <w:t xml:space="preserve">0.500</w:t>
            </w:r>
          </w:p>
        </w:tc>
        <w:tc>
          <w:tcPr/>
          <w:p>
            <w:pPr>
              <w:pStyle w:val="Compact"/>
            </w:pPr>
            <w:r>
              <w:rPr>
                <w:b/>
                <w:bCs/>
              </w:rPr>
              <w:t xml:space="preserve">0.091</w:t>
            </w:r>
          </w:p>
        </w:tc>
        <w:tc>
          <w:tcPr/>
          <w:p>
            <w:pPr>
              <w:pStyle w:val="Compact"/>
            </w:pPr>
            <w:r>
              <w:t xml:space="preserve">Poor (essentially chance)</w:t>
            </w:r>
          </w:p>
        </w:tc>
      </w:tr>
      <w:tr>
        <w:tc>
          <w:tcPr/>
          <w:p>
            <w:pPr>
              <w:pStyle w:val="Compact"/>
            </w:pPr>
            <w:r>
              <w:t xml:space="preserve">D2 Risk (Index Test)</w:t>
            </w:r>
          </w:p>
        </w:tc>
        <w:tc>
          <w:tcPr/>
          <w:p>
            <w:pPr>
              <w:pStyle w:val="Compact"/>
            </w:pPr>
            <w:r>
              <w:t xml:space="preserve">1.000</w:t>
            </w:r>
          </w:p>
        </w:tc>
        <w:tc>
          <w:tcPr/>
          <w:p>
            <w:pPr>
              <w:pStyle w:val="Compact"/>
            </w:pPr>
            <w:r>
              <w:t xml:space="preserve">0.913</w:t>
            </w:r>
          </w:p>
        </w:tc>
        <w:tc>
          <w:tcPr/>
          <w:p>
            <w:pPr>
              <w:pStyle w:val="Compact"/>
            </w:pPr>
            <w:r>
              <w:t xml:space="preserve">1.000</w:t>
            </w:r>
          </w:p>
        </w:tc>
        <w:tc>
          <w:tcPr/>
          <w:p>
            <w:pPr>
              <w:pStyle w:val="Compact"/>
            </w:pPr>
            <w:r>
              <w:t xml:space="preserve">Perfect</w:t>
            </w:r>
          </w:p>
        </w:tc>
      </w:tr>
      <w:tr>
        <w:tc>
          <w:tcPr/>
          <w:p>
            <w:pPr>
              <w:pStyle w:val="Compact"/>
            </w:pPr>
            <w:r>
              <w:t xml:space="preserve">D3 Risk (Reference Standard)</w:t>
            </w:r>
          </w:p>
        </w:tc>
        <w:tc>
          <w:tcPr/>
          <w:p>
            <w:pPr>
              <w:pStyle w:val="Compact"/>
            </w:pPr>
            <w:r>
              <w:t xml:space="preserve">1.000</w:t>
            </w:r>
          </w:p>
        </w:tc>
        <w:tc>
          <w:tcPr/>
          <w:p>
            <w:pPr>
              <w:pStyle w:val="Compact"/>
            </w:pPr>
            <w:r>
              <w:t xml:space="preserve">1.000</w:t>
            </w:r>
          </w:p>
        </w:tc>
        <w:tc>
          <w:tcPr/>
          <w:p>
            <w:pPr>
              <w:pStyle w:val="Compact"/>
            </w:pPr>
            <w:r>
              <w:t xml:space="preserve">1.000</w:t>
            </w:r>
          </w:p>
        </w:tc>
        <w:tc>
          <w:tcPr/>
          <w:p>
            <w:pPr>
              <w:pStyle w:val="Compact"/>
            </w:pPr>
            <w:r>
              <w:t xml:space="preserve">Perfect</w:t>
            </w:r>
          </w:p>
        </w:tc>
      </w:tr>
      <w:tr>
        <w:tc>
          <w:tcPr/>
          <w:p>
            <w:pPr>
              <w:pStyle w:val="Compact"/>
            </w:pPr>
            <w:r>
              <w:t xml:space="preserve">D4 Risk (Flow and Timing)</w:t>
            </w:r>
          </w:p>
        </w:tc>
        <w:tc>
          <w:tcPr/>
          <w:p>
            <w:pPr>
              <w:pStyle w:val="Compact"/>
            </w:pPr>
            <w:r>
              <w:t xml:space="preserve">1.000</w:t>
            </w:r>
          </w:p>
        </w:tc>
        <w:tc>
          <w:tcPr/>
          <w:p>
            <w:pPr>
              <w:pStyle w:val="Compact"/>
            </w:pPr>
            <w:r>
              <w:t xml:space="preserve">1.000</w:t>
            </w:r>
          </w:p>
        </w:tc>
        <w:tc>
          <w:tcPr/>
          <w:p>
            <w:pPr>
              <w:pStyle w:val="Compact"/>
            </w:pPr>
            <w:r>
              <w:t xml:space="preserve">1.000</w:t>
            </w:r>
          </w:p>
        </w:tc>
        <w:tc>
          <w:tcPr/>
          <w:p>
            <w:pPr>
              <w:pStyle w:val="Compact"/>
            </w:pPr>
            <w:r>
              <w:t xml:space="preserve">Perfect</w:t>
            </w:r>
          </w:p>
        </w:tc>
      </w:tr>
      <w:tr>
        <w:tc>
          <w:tcPr/>
          <w:p>
            <w:pPr>
              <w:pStyle w:val="Compact"/>
            </w:pPr>
            <w:r>
              <w:t xml:space="preserve">Applicability D1–D3</w:t>
            </w:r>
          </w:p>
        </w:tc>
        <w:tc>
          <w:tcPr/>
          <w:p>
            <w:pPr>
              <w:pStyle w:val="Compact"/>
            </w:pPr>
            <w:r>
              <w:t xml:space="preserve">1.000</w:t>
            </w:r>
          </w:p>
        </w:tc>
        <w:tc>
          <w:tcPr/>
          <w:p>
            <w:pPr>
              <w:pStyle w:val="Compact"/>
            </w:pPr>
            <w:r>
              <w:t xml:space="preserve">1.000</w:t>
            </w:r>
          </w:p>
        </w:tc>
        <w:tc>
          <w:tcPr/>
          <w:p>
            <w:pPr>
              <w:pStyle w:val="Compact"/>
            </w:pPr>
            <w:r>
              <w:t xml:space="preserve">1.000</w:t>
            </w:r>
          </w:p>
        </w:tc>
        <w:tc>
          <w:tcPr/>
          <w:p>
            <w:pPr>
              <w:pStyle w:val="Compact"/>
            </w:pPr>
            <w:r>
              <w:t xml:space="preserve">Perfect (all Low)</w:t>
            </w:r>
          </w:p>
        </w:tc>
      </w:tr>
    </w:tbl>
    <w:p>
      <w:pPr>
        <w:pStyle w:val="BodyText"/>
      </w:pPr>
      <w:r>
        <w:t xml:space="preserve">All 10 disagreements occurred on D1 (Patient Selection), specifically whether retrospective cohort studies should be rated Low or Unclear risk depending on the explicit documentation of consecutive/random sampling. D2–D4 ratings agreed perfectly across all 22 studies (66 D2–D4 domain-level assessments); aggregate item-level agreement across all four domains was 88.6% (78 of 88).</w:t>
      </w:r>
    </w:p>
    <w:p>
      <w:r>
        <w:pict>
          <v:rect style="width:0;height:1.5pt" o:hralign="center" o:hrstd="t" o:hr="t"/>
        </w:pict>
      </w:r>
    </w:p>
    <w:bookmarkEnd w:id="32"/>
    <w:bookmarkStart w:id="33" w:name="d1-adjudication-10-disagreements"/>
    <w:p>
      <w:pPr>
        <w:pStyle w:val="Heading2"/>
      </w:pPr>
      <w:r>
        <w:t xml:space="preserve">2. D1 Adjudication (10 disagreements)</w:t>
      </w:r>
    </w:p>
    <w:p>
      <w:pPr>
        <w:pStyle w:val="FirstParagraph"/>
      </w:pPr>
      <w:r>
        <w:rPr>
          <w:b/>
          <w:bCs/>
        </w:rPr>
        <w:t xml:space="preserve">Adjudication rule.</w:t>
      </w:r>
      <w:r>
        <w:t xml:space="preserve"> </w:t>
      </w:r>
      <w:r>
        <w:t xml:space="preserve">A D1 rating of Low was assigned when the paper explicitly stated</w:t>
      </w:r>
      <w:r>
        <w:t xml:space="preserve"> </w:t>
      </w:r>
      <w:r>
        <w:t xml:space="preserve">“consecutive patients,”</w:t>
      </w:r>
      <w:r>
        <w:t xml:space="preserve"> </w:t>
      </w:r>
      <w:r>
        <w:t xml:space="preserve">“random sample,”</w:t>
      </w:r>
      <w:r>
        <w:t xml:space="preserve"> </w:t>
      </w:r>
      <w:r>
        <w:t xml:space="preserve">or an equivalent phrase establishing a non-selected enrollment stream. When enrollment was not explicitly characterized as consecutive/random, or when retrospective database-review extended over a long calendar window without an explicit consecutive statement, the rating was set to Unclear.</w:t>
      </w:r>
    </w:p>
    <w:tbl>
      <w:tblPr>
        <w:tblStyle w:val="Table"/>
        <w:tblW w:type="pct" w:w="5000"/>
        <w:tblLayout w:type="fixed"/>
        <w:tblLook w:firstRow="1" w:lastRow="0" w:firstColumn="0" w:lastColumn="0" w:noHBand="0" w:noVBand="0" w:val="0020"/>
      </w:tblPr>
      <w:tblGrid>
        <w:gridCol w:w="424"/>
        <w:gridCol w:w="990"/>
        <w:gridCol w:w="565"/>
        <w:gridCol w:w="565"/>
        <w:gridCol w:w="1555"/>
        <w:gridCol w:w="3818"/>
      </w:tblGrid>
      <w:tr>
        <w:trPr>
          <w:tblHeader w:val="on"/>
        </w:trPr>
        <w:tc>
          <w:tcPr/>
          <w:p>
            <w:pPr>
              <w:pStyle w:val="Compact"/>
            </w:pPr>
            <w:r>
              <w:t xml:space="preserve">#</w:t>
            </w:r>
          </w:p>
        </w:tc>
        <w:tc>
          <w:tcPr/>
          <w:p>
            <w:pPr>
              <w:pStyle w:val="Compact"/>
            </w:pPr>
            <w:r>
              <w:t xml:space="preserve">Study</w:t>
            </w:r>
          </w:p>
        </w:tc>
        <w:tc>
          <w:tcPr/>
          <w:p>
            <w:pPr>
              <w:pStyle w:val="Compact"/>
            </w:pPr>
            <w:r>
              <w:t xml:space="preserve">Reviewer 1</w:t>
            </w:r>
          </w:p>
        </w:tc>
        <w:tc>
          <w:tcPr/>
          <w:p>
            <w:pPr>
              <w:pStyle w:val="Compact"/>
            </w:pPr>
            <w:r>
              <w:t xml:space="preserve">Reviewer 2</w:t>
            </w:r>
          </w:p>
        </w:tc>
        <w:tc>
          <w:tcPr/>
          <w:p>
            <w:pPr>
              <w:pStyle w:val="Compact"/>
            </w:pPr>
            <w:r>
              <w:t xml:space="preserve">Consensus</w:t>
            </w:r>
          </w:p>
        </w:tc>
        <w:tc>
          <w:tcPr/>
          <w:p>
            <w:pPr>
              <w:pStyle w:val="Compact"/>
            </w:pPr>
            <w:r>
              <w:t xml:space="preserve">Source phrase / rationale</w:t>
            </w:r>
          </w:p>
        </w:tc>
      </w:tr>
      <w:tr>
        <w:tc>
          <w:tcPr/>
          <w:p>
            <w:pPr>
              <w:pStyle w:val="Compact"/>
            </w:pPr>
            <w:r>
              <w:t xml:space="preserve">1</w:t>
            </w:r>
          </w:p>
        </w:tc>
        <w:tc>
          <w:tcPr/>
          <w:p>
            <w:pPr>
              <w:pStyle w:val="Compact"/>
            </w:pPr>
            <w:r>
              <w:t xml:space="preserve">Hwang 2010</w:t>
            </w:r>
          </w:p>
        </w:tc>
        <w:tc>
          <w:tcPr/>
          <w:p>
            <w:pPr>
              <w:pStyle w:val="Compact"/>
            </w:pPr>
            <w:r>
              <w:t xml:space="preserve">U</w:t>
            </w:r>
          </w:p>
        </w:tc>
        <w:tc>
          <w:tcPr/>
          <w:p>
            <w:pPr>
              <w:pStyle w:val="Compact"/>
            </w:pPr>
            <w:r>
              <w:t xml:space="preserve">L</w:t>
            </w:r>
          </w:p>
        </w:tc>
        <w:tc>
          <w:tcPr/>
          <w:p>
            <w:pPr>
              <w:pStyle w:val="Compact"/>
            </w:pPr>
            <w:r>
              <w:rPr>
                <w:b/>
                <w:bCs/>
              </w:rPr>
              <w:t xml:space="preserve">U</w:t>
            </w:r>
          </w:p>
        </w:tc>
        <w:tc>
          <w:tcPr/>
          <w:p>
            <w:pPr>
              <w:pStyle w:val="Compact"/>
            </w:pPr>
            <w:r>
              <w:t xml:space="preserve">“This retrospective cohort study … patients … were enrolled.”</w:t>
            </w:r>
            <w:r>
              <w:t xml:space="preserve"> </w:t>
            </w:r>
            <w:r>
              <w:t xml:space="preserve">No</w:t>
            </w:r>
            <w:r>
              <w:t xml:space="preserve"> </w:t>
            </w:r>
            <w:r>
              <w:t xml:space="preserve">“consecutive”</w:t>
            </w:r>
            <w:r>
              <w:t xml:space="preserve"> </w:t>
            </w:r>
            <w:r>
              <w:t xml:space="preserve">phrase. (AJR p.W400 Patient Selection)</w:t>
            </w:r>
          </w:p>
        </w:tc>
      </w:tr>
      <w:tr>
        <w:tc>
          <w:tcPr/>
          <w:p>
            <w:pPr>
              <w:pStyle w:val="Compact"/>
            </w:pPr>
            <w:r>
              <w:t xml:space="preserve">2</w:t>
            </w:r>
          </w:p>
        </w:tc>
        <w:tc>
          <w:tcPr/>
          <w:p>
            <w:pPr>
              <w:pStyle w:val="Compact"/>
            </w:pPr>
            <w:r>
              <w:t xml:space="preserve">Cheung 2011</w:t>
            </w:r>
          </w:p>
        </w:tc>
        <w:tc>
          <w:tcPr/>
          <w:p>
            <w:pPr>
              <w:pStyle w:val="Compact"/>
            </w:pPr>
            <w:r>
              <w:t xml:space="preserve">L</w:t>
            </w:r>
          </w:p>
        </w:tc>
        <w:tc>
          <w:tcPr/>
          <w:p>
            <w:pPr>
              <w:pStyle w:val="Compact"/>
            </w:pPr>
            <w:r>
              <w:t xml:space="preserve">U</w:t>
            </w:r>
          </w:p>
        </w:tc>
        <w:tc>
          <w:tcPr/>
          <w:p>
            <w:pPr>
              <w:pStyle w:val="Compact"/>
            </w:pPr>
            <w:r>
              <w:rPr>
                <w:b/>
                <w:bCs/>
              </w:rPr>
              <w:t xml:space="preserve">L</w:t>
            </w:r>
          </w:p>
        </w:tc>
        <w:tc>
          <w:tcPr/>
          <w:p>
            <w:pPr>
              <w:pStyle w:val="Compact"/>
            </w:pPr>
            <w:r>
              <w:t xml:space="preserve">“From March 2009 to July 2010, 161 consecutive patients…”</w:t>
            </w:r>
            <w:r>
              <w:t xml:space="preserve"> </w:t>
            </w:r>
            <w:r>
              <w:t xml:space="preserve">(AJR p.W322)</w:t>
            </w:r>
          </w:p>
        </w:tc>
      </w:tr>
      <w:tr>
        <w:tc>
          <w:tcPr/>
          <w:p>
            <w:pPr>
              <w:pStyle w:val="Compact"/>
            </w:pPr>
            <w:r>
              <w:t xml:space="preserve">4</w:t>
            </w:r>
          </w:p>
        </w:tc>
        <w:tc>
          <w:tcPr/>
          <w:p>
            <w:pPr>
              <w:pStyle w:val="Compact"/>
            </w:pPr>
            <w:r>
              <w:t xml:space="preserve">Choi_MJ 2012</w:t>
            </w:r>
          </w:p>
        </w:tc>
        <w:tc>
          <w:tcPr/>
          <w:p>
            <w:pPr>
              <w:pStyle w:val="Compact"/>
            </w:pPr>
            <w:r>
              <w:t xml:space="preserve">U</w:t>
            </w:r>
          </w:p>
        </w:tc>
        <w:tc>
          <w:tcPr/>
          <w:p>
            <w:pPr>
              <w:pStyle w:val="Compact"/>
            </w:pPr>
            <w:r>
              <w:t xml:space="preserve">L</w:t>
            </w:r>
          </w:p>
        </w:tc>
        <w:tc>
          <w:tcPr/>
          <w:p>
            <w:pPr>
              <w:pStyle w:val="Compact"/>
            </w:pPr>
            <w:r>
              <w:rPr>
                <w:b/>
                <w:bCs/>
              </w:rPr>
              <w:t xml:space="preserve">L</w:t>
            </w:r>
          </w:p>
        </w:tc>
        <w:tc>
          <w:tcPr/>
          <w:p>
            <w:pPr>
              <w:pStyle w:val="Compact"/>
            </w:pPr>
            <w:r>
              <w:t xml:space="preserve">“This study enrolled 99 consecutive patients with pulmonary lesions…”</w:t>
            </w:r>
            <w:r>
              <w:t xml:space="preserve"> </w:t>
            </w:r>
            <w:r>
              <w:t xml:space="preserve">(BJR, Methods)</w:t>
            </w:r>
          </w:p>
        </w:tc>
      </w:tr>
      <w:tr>
        <w:tc>
          <w:tcPr/>
          <w:p>
            <w:pPr>
              <w:pStyle w:val="Compact"/>
            </w:pPr>
            <w:r>
              <w:t xml:space="preserve">5</w:t>
            </w:r>
          </w:p>
        </w:tc>
        <w:tc>
          <w:tcPr/>
          <w:p>
            <w:pPr>
              <w:pStyle w:val="Compact"/>
            </w:pPr>
            <w:r>
              <w:t xml:space="preserve">Lee_WJ 2012</w:t>
            </w:r>
          </w:p>
        </w:tc>
        <w:tc>
          <w:tcPr/>
          <w:p>
            <w:pPr>
              <w:pStyle w:val="Compact"/>
            </w:pPr>
            <w:r>
              <w:t xml:space="preserve">L</w:t>
            </w:r>
          </w:p>
        </w:tc>
        <w:tc>
          <w:tcPr/>
          <w:p>
            <w:pPr>
              <w:pStyle w:val="Compact"/>
            </w:pPr>
            <w:r>
              <w:t xml:space="preserve">U</w:t>
            </w:r>
          </w:p>
        </w:tc>
        <w:tc>
          <w:tcPr/>
          <w:p>
            <w:pPr>
              <w:pStyle w:val="Compact"/>
            </w:pPr>
            <w:r>
              <w:rPr>
                <w:b/>
                <w:bCs/>
              </w:rPr>
              <w:t xml:space="preserve">L</w:t>
            </w:r>
          </w:p>
        </w:tc>
        <w:tc>
          <w:tcPr/>
          <w:p>
            <w:pPr>
              <w:pStyle w:val="Compact"/>
            </w:pPr>
            <w:r>
              <w:t xml:space="preserve">“…were performed on 116 consecutive patients with a pulmonary nodule or mass…”</w:t>
            </w:r>
            <w:r>
              <w:t xml:space="preserve"> </w:t>
            </w:r>
            <w:r>
              <w:t xml:space="preserve">(Methods)</w:t>
            </w:r>
          </w:p>
        </w:tc>
      </w:tr>
      <w:tr>
        <w:tc>
          <w:tcPr/>
          <w:p>
            <w:pPr>
              <w:pStyle w:val="Compact"/>
            </w:pPr>
            <w:r>
              <w:t xml:space="preserve">6</w:t>
            </w:r>
          </w:p>
        </w:tc>
        <w:tc>
          <w:tcPr/>
          <w:p>
            <w:pPr>
              <w:pStyle w:val="Compact"/>
            </w:pPr>
            <w:r>
              <w:t xml:space="preserve">Floridi 2014</w:t>
            </w:r>
          </w:p>
        </w:tc>
        <w:tc>
          <w:tcPr/>
          <w:p>
            <w:pPr>
              <w:pStyle w:val="Compact"/>
            </w:pPr>
            <w:r>
              <w:t xml:space="preserve">U</w:t>
            </w:r>
          </w:p>
        </w:tc>
        <w:tc>
          <w:tcPr/>
          <w:p>
            <w:pPr>
              <w:pStyle w:val="Compact"/>
            </w:pPr>
            <w:r>
              <w:t xml:space="preserve">L</w:t>
            </w:r>
          </w:p>
        </w:tc>
        <w:tc>
          <w:tcPr/>
          <w:p>
            <w:pPr>
              <w:pStyle w:val="Compact"/>
            </w:pPr>
            <w:r>
              <w:rPr>
                <w:b/>
                <w:bCs/>
              </w:rPr>
              <w:t xml:space="preserve">L</w:t>
            </w:r>
          </w:p>
        </w:tc>
        <w:tc>
          <w:tcPr/>
          <w:p>
            <w:pPr>
              <w:pStyle w:val="Compact"/>
            </w:pPr>
            <w:r>
              <w:t xml:space="preserve">“Between February 2010 and January 2012, … 100 consecutive patients with 100 lesions…”</w:t>
            </w:r>
            <w:r>
              <w:t xml:space="preserve"> </w:t>
            </w:r>
            <w:r>
              <w:t xml:space="preserve">(Radiol Med)</w:t>
            </w:r>
          </w:p>
        </w:tc>
      </w:tr>
      <w:tr>
        <w:tc>
          <w:tcPr/>
          <w:p>
            <w:pPr>
              <w:pStyle w:val="Compact"/>
            </w:pPr>
            <w:r>
              <w:t xml:space="preserve">7</w:t>
            </w:r>
          </w:p>
        </w:tc>
        <w:tc>
          <w:tcPr/>
          <w:p>
            <w:pPr>
              <w:pStyle w:val="Compact"/>
            </w:pPr>
            <w:r>
              <w:t xml:space="preserve">Lee 2014</w:t>
            </w:r>
          </w:p>
        </w:tc>
        <w:tc>
          <w:tcPr/>
          <w:p>
            <w:pPr>
              <w:pStyle w:val="Compact"/>
            </w:pPr>
            <w:r>
              <w:t xml:space="preserve">L</w:t>
            </w:r>
          </w:p>
        </w:tc>
        <w:tc>
          <w:tcPr/>
          <w:p>
            <w:pPr>
              <w:pStyle w:val="Compact"/>
            </w:pPr>
            <w:r>
              <w:t xml:space="preserve">U</w:t>
            </w:r>
          </w:p>
        </w:tc>
        <w:tc>
          <w:tcPr/>
          <w:p>
            <w:pPr>
              <w:pStyle w:val="Compact"/>
            </w:pPr>
            <w:r>
              <w:rPr>
                <w:b/>
                <w:bCs/>
              </w:rPr>
              <w:t xml:space="preserve">L</w:t>
            </w:r>
          </w:p>
        </w:tc>
        <w:tc>
          <w:tcPr/>
          <w:p>
            <w:pPr>
              <w:pStyle w:val="Compact"/>
            </w:pPr>
            <w:r>
              <w:t xml:space="preserve">“From January 2009 to December 2011, 1153 consecutive cone-beam CT-guided PTNBs were performed…”</w:t>
            </w:r>
            <w:r>
              <w:t xml:space="preserve"> </w:t>
            </w:r>
            <w:r>
              <w:t xml:space="preserve">(Radiology Study Population)</w:t>
            </w:r>
          </w:p>
        </w:tc>
      </w:tr>
      <w:tr>
        <w:tc>
          <w:tcPr/>
          <w:p>
            <w:pPr>
              <w:pStyle w:val="Compact"/>
            </w:pPr>
            <w:r>
              <w:t xml:space="preserve">8</w:t>
            </w:r>
          </w:p>
        </w:tc>
        <w:tc>
          <w:tcPr/>
          <w:p>
            <w:pPr>
              <w:pStyle w:val="Compact"/>
            </w:pPr>
            <w:r>
              <w:t xml:space="preserve">Cheng 2015</w:t>
            </w:r>
          </w:p>
        </w:tc>
        <w:tc>
          <w:tcPr/>
          <w:p>
            <w:pPr>
              <w:pStyle w:val="Compact"/>
            </w:pPr>
            <w:r>
              <w:t xml:space="preserve">U</w:t>
            </w:r>
          </w:p>
        </w:tc>
        <w:tc>
          <w:tcPr/>
          <w:p>
            <w:pPr>
              <w:pStyle w:val="Compact"/>
            </w:pPr>
            <w:r>
              <w:t xml:space="preserve">L</w:t>
            </w:r>
          </w:p>
        </w:tc>
        <w:tc>
          <w:tcPr/>
          <w:p>
            <w:pPr>
              <w:pStyle w:val="Compact"/>
            </w:pPr>
            <w:r>
              <w:rPr>
                <w:b/>
                <w:bCs/>
              </w:rPr>
              <w:t xml:space="preserve">L</w:t>
            </w:r>
          </w:p>
        </w:tc>
        <w:tc>
          <w:tcPr/>
          <w:p>
            <w:pPr>
              <w:pStyle w:val="Compact"/>
            </w:pPr>
            <w:r>
              <w:t xml:space="preserve">“Sixty consecutive patients … underwent PTNB procedures.”</w:t>
            </w:r>
            <w:r>
              <w:t xml:space="preserve"> </w:t>
            </w:r>
            <w:r>
              <w:t xml:space="preserve">(Acta Radiol)</w:t>
            </w:r>
          </w:p>
        </w:tc>
      </w:tr>
      <w:tr>
        <w:tc>
          <w:tcPr/>
          <w:p>
            <w:pPr>
              <w:pStyle w:val="Compact"/>
            </w:pPr>
            <w:r>
              <w:t xml:space="preserve">17</w:t>
            </w:r>
          </w:p>
        </w:tc>
        <w:tc>
          <w:tcPr/>
          <w:p>
            <w:pPr>
              <w:pStyle w:val="Compact"/>
            </w:pPr>
            <w:r>
              <w:t xml:space="preserve">Ren 2022</w:t>
            </w:r>
          </w:p>
        </w:tc>
        <w:tc>
          <w:tcPr/>
          <w:p>
            <w:pPr>
              <w:pStyle w:val="Compact"/>
            </w:pPr>
            <w:r>
              <w:t xml:space="preserve">L</w:t>
            </w:r>
          </w:p>
        </w:tc>
        <w:tc>
          <w:tcPr/>
          <w:p>
            <w:pPr>
              <w:pStyle w:val="Compact"/>
            </w:pPr>
            <w:r>
              <w:t xml:space="preserve">U</w:t>
            </w:r>
          </w:p>
        </w:tc>
        <w:tc>
          <w:tcPr/>
          <w:p>
            <w:pPr>
              <w:pStyle w:val="Compact"/>
            </w:pPr>
            <w:r>
              <w:rPr>
                <w:b/>
                <w:bCs/>
              </w:rPr>
              <w:t xml:space="preserve">U</w:t>
            </w:r>
          </w:p>
        </w:tc>
        <w:tc>
          <w:tcPr/>
          <w:p>
            <w:pPr>
              <w:pStyle w:val="Compact"/>
            </w:pPr>
            <w:r>
              <w:t xml:space="preserve">No</w:t>
            </w:r>
            <w:r>
              <w:t xml:space="preserve"> </w:t>
            </w:r>
            <w:r>
              <w:t xml:space="preserve">“consecutive”</w:t>
            </w:r>
            <w:r>
              <w:t xml:space="preserve"> </w:t>
            </w:r>
            <w:r>
              <w:t xml:space="preserve">phrase in Methods; retrospective database review over September 2009–March 2020 (10+ years) with inclusion-criteria filter after-the-fact. Non-consecutive selection cannot be excluded. (Clin Radiol)</w:t>
            </w:r>
          </w:p>
        </w:tc>
      </w:tr>
      <w:tr>
        <w:tc>
          <w:tcPr/>
          <w:p>
            <w:pPr>
              <w:pStyle w:val="Compact"/>
            </w:pPr>
            <w:r>
              <w:t xml:space="preserve">18</w:t>
            </w:r>
          </w:p>
        </w:tc>
        <w:tc>
          <w:tcPr/>
          <w:p>
            <w:pPr>
              <w:pStyle w:val="Compact"/>
            </w:pPr>
            <w:r>
              <w:t xml:space="preserve">Yang_L 2022</w:t>
            </w:r>
          </w:p>
        </w:tc>
        <w:tc>
          <w:tcPr/>
          <w:p>
            <w:pPr>
              <w:pStyle w:val="Compact"/>
            </w:pPr>
            <w:r>
              <w:t xml:space="preserve">U</w:t>
            </w:r>
          </w:p>
        </w:tc>
        <w:tc>
          <w:tcPr/>
          <w:p>
            <w:pPr>
              <w:pStyle w:val="Compact"/>
            </w:pPr>
            <w:r>
              <w:t xml:space="preserve">L</w:t>
            </w:r>
          </w:p>
        </w:tc>
        <w:tc>
          <w:tcPr/>
          <w:p>
            <w:pPr>
              <w:pStyle w:val="Compact"/>
            </w:pPr>
            <w:r>
              <w:rPr>
                <w:b/>
                <w:bCs/>
              </w:rPr>
              <w:t xml:space="preserve">L</w:t>
            </w:r>
          </w:p>
        </w:tc>
        <w:tc>
          <w:tcPr/>
          <w:p>
            <w:pPr>
              <w:pStyle w:val="Compact"/>
            </w:pPr>
            <w:r>
              <w:t xml:space="preserve">“A total of 217 consecutive patients … from 1 June 2018 to 31 December 2019…”</w:t>
            </w:r>
            <w:r>
              <w:t xml:space="preserve"> </w:t>
            </w:r>
            <w:r>
              <w:t xml:space="preserve">(Tomography)</w:t>
            </w:r>
          </w:p>
        </w:tc>
      </w:tr>
      <w:tr>
        <w:tc>
          <w:tcPr/>
          <w:p>
            <w:pPr>
              <w:pStyle w:val="Compact"/>
            </w:pPr>
            <w:r>
              <w:t xml:space="preserve">19</w:t>
            </w:r>
          </w:p>
        </w:tc>
        <w:tc>
          <w:tcPr/>
          <w:p>
            <w:pPr>
              <w:pStyle w:val="Compact"/>
            </w:pPr>
            <w:r>
              <w:t xml:space="preserve">Cho 2024</w:t>
            </w:r>
          </w:p>
        </w:tc>
        <w:tc>
          <w:tcPr/>
          <w:p>
            <w:pPr>
              <w:pStyle w:val="Compact"/>
            </w:pPr>
            <w:r>
              <w:t xml:space="preserve">L</w:t>
            </w:r>
          </w:p>
        </w:tc>
        <w:tc>
          <w:tcPr/>
          <w:p>
            <w:pPr>
              <w:pStyle w:val="Compact"/>
            </w:pPr>
            <w:r>
              <w:t xml:space="preserve">U</w:t>
            </w:r>
          </w:p>
        </w:tc>
        <w:tc>
          <w:tcPr/>
          <w:p>
            <w:pPr>
              <w:pStyle w:val="Compact"/>
            </w:pPr>
            <w:r>
              <w:rPr>
                <w:b/>
                <w:bCs/>
              </w:rPr>
              <w:t xml:space="preserve">L</w:t>
            </w:r>
          </w:p>
        </w:tc>
        <w:tc>
          <w:tcPr/>
          <w:p>
            <w:pPr>
              <w:pStyle w:val="Compact"/>
            </w:pPr>
            <w:r>
              <w:t xml:space="preserve">“A total of 309 consecutive patients underwent image-guided PTNB … between January 2018 and December 2023.”</w:t>
            </w:r>
            <w:r>
              <w:t xml:space="preserve"> </w:t>
            </w:r>
            <w:r>
              <w:t xml:space="preserve">(Diagnostics)</w:t>
            </w:r>
          </w:p>
        </w:tc>
      </w:tr>
    </w:tbl>
    <w:p>
      <w:pPr>
        <w:pStyle w:val="BodyText"/>
      </w:pPr>
      <w:r>
        <w:rPr>
          <w:b/>
          <w:bCs/>
        </w:rPr>
        <w:t xml:space="preserve">Adjudication outcome.</w:t>
      </w:r>
      <w:r>
        <w:t xml:space="preserve"> </w:t>
      </w:r>
      <w:r>
        <w:t xml:space="preserve">8 of 10 D1 disagreements resolved to Low (consecutive/random explicitly documented); 2 resolved to Unclear (Hwang 2010 and Ren 2022, where no consecutive/random language was present and selection bias cannot be excluded).</w:t>
      </w:r>
    </w:p>
    <w:p>
      <w:r>
        <w:pict>
          <v:rect style="width:0;height:1.5pt" o:hralign="center" o:hrstd="t" o:hr="t"/>
        </w:pict>
      </w:r>
    </w:p>
    <w:bookmarkEnd w:id="33"/>
    <w:bookmarkStart w:id="34" w:name="final-consensus-per-study-ratings"/>
    <w:p>
      <w:pPr>
        <w:pStyle w:val="Heading2"/>
      </w:pPr>
      <w:r>
        <w:t xml:space="preserve">3. Final consensus per-study ratings</w:t>
      </w:r>
    </w:p>
    <w:tbl>
      <w:tblPr>
        <w:tblStyle w:val="Table"/>
        <w:tblW w:type="pct" w:w="5000"/>
        <w:tblLayout w:type="fixed"/>
        <w:tblLook w:firstRow="1" w:lastRow="0" w:firstColumn="0" w:lastColumn="0" w:noHBand="0" w:noVBand="0" w:val="0020"/>
      </w:tblPr>
      <w:tblGrid>
        <w:gridCol w:w="247"/>
        <w:gridCol w:w="1072"/>
        <w:gridCol w:w="742"/>
        <w:gridCol w:w="742"/>
        <w:gridCol w:w="742"/>
        <w:gridCol w:w="742"/>
        <w:gridCol w:w="742"/>
        <w:gridCol w:w="742"/>
        <w:gridCol w:w="742"/>
        <w:gridCol w:w="1402"/>
      </w:tblGrid>
      <w:tr>
        <w:trPr>
          <w:tblHeader w:val="on"/>
        </w:trPr>
        <w:tc>
          <w:tcPr/>
          <w:p>
            <w:pPr>
              <w:pStyle w:val="Compact"/>
            </w:pPr>
            <w:r>
              <w:t xml:space="preserve">#</w:t>
            </w:r>
          </w:p>
        </w:tc>
        <w:tc>
          <w:tcPr/>
          <w:p>
            <w:pPr>
              <w:pStyle w:val="Compact"/>
            </w:pPr>
            <w:r>
              <w:t xml:space="preserve">Study (Year)</w:t>
            </w:r>
          </w:p>
        </w:tc>
        <w:tc>
          <w:tcPr/>
          <w:p>
            <w:pPr>
              <w:pStyle w:val="Compact"/>
            </w:pPr>
            <w:r>
              <w:t xml:space="preserve">D1 Risk</w:t>
            </w:r>
          </w:p>
        </w:tc>
        <w:tc>
          <w:tcPr/>
          <w:p>
            <w:pPr>
              <w:pStyle w:val="Compact"/>
            </w:pPr>
            <w:r>
              <w:t xml:space="preserve">D1 Appl</w:t>
            </w:r>
          </w:p>
        </w:tc>
        <w:tc>
          <w:tcPr/>
          <w:p>
            <w:pPr>
              <w:pStyle w:val="Compact"/>
            </w:pPr>
            <w:r>
              <w:t xml:space="preserve">D2 Risk</w:t>
            </w:r>
          </w:p>
        </w:tc>
        <w:tc>
          <w:tcPr/>
          <w:p>
            <w:pPr>
              <w:pStyle w:val="Compact"/>
            </w:pPr>
            <w:r>
              <w:t xml:space="preserve">D2 Appl</w:t>
            </w:r>
          </w:p>
        </w:tc>
        <w:tc>
          <w:tcPr/>
          <w:p>
            <w:pPr>
              <w:pStyle w:val="Compact"/>
            </w:pPr>
            <w:r>
              <w:t xml:space="preserve">D3 Risk</w:t>
            </w:r>
          </w:p>
        </w:tc>
        <w:tc>
          <w:tcPr/>
          <w:p>
            <w:pPr>
              <w:pStyle w:val="Compact"/>
            </w:pPr>
            <w:r>
              <w:t xml:space="preserve">D3 Appl</w:t>
            </w:r>
          </w:p>
        </w:tc>
        <w:tc>
          <w:tcPr/>
          <w:p>
            <w:pPr>
              <w:pStyle w:val="Compact"/>
            </w:pPr>
            <w:r>
              <w:t xml:space="preserve">D4 Risk</w:t>
            </w:r>
          </w:p>
        </w:tc>
        <w:tc>
          <w:tcPr/>
          <w:p>
            <w:pPr>
              <w:pStyle w:val="Compact"/>
            </w:pPr>
            <w:r>
              <w:t xml:space="preserve">Key reason (D4)</w:t>
            </w:r>
          </w:p>
        </w:tc>
      </w:tr>
      <w:tr>
        <w:tc>
          <w:tcPr/>
          <w:p>
            <w:pPr>
              <w:pStyle w:val="Compact"/>
            </w:pPr>
            <w:r>
              <w:t xml:space="preserve">1</w:t>
            </w:r>
          </w:p>
        </w:tc>
        <w:tc>
          <w:tcPr/>
          <w:p>
            <w:pPr>
              <w:pStyle w:val="Compact"/>
            </w:pPr>
            <w:r>
              <w:t xml:space="preserve">Hwang 2010</w:t>
            </w:r>
          </w:p>
        </w:tc>
        <w:tc>
          <w:tcPr/>
          <w:p>
            <w:pPr>
              <w:pStyle w:val="Compact"/>
            </w:pPr>
            <w:r>
              <w:t xml:space="preserve">U</w:t>
            </w:r>
          </w:p>
        </w:tc>
        <w:tc>
          <w:tcPr/>
          <w:p>
            <w:pPr>
              <w:pStyle w:val="Compact"/>
            </w:pPr>
            <w:r>
              <w:t xml:space="preserve">L</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w:t>
            </w:r>
          </w:p>
        </w:tc>
      </w:tr>
      <w:tr>
        <w:tc>
          <w:tcPr/>
          <w:p>
            <w:pPr>
              <w:pStyle w:val="Compact"/>
            </w:pPr>
            <w:r>
              <w:t xml:space="preserve">2</w:t>
            </w:r>
          </w:p>
        </w:tc>
        <w:tc>
          <w:tcPr/>
          <w:p>
            <w:pPr>
              <w:pStyle w:val="Compact"/>
            </w:pPr>
            <w:r>
              <w:t xml:space="preserve">Cheung 2011</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w:t>
            </w:r>
          </w:p>
        </w:tc>
      </w:tr>
      <w:tr>
        <w:tc>
          <w:tcPr/>
          <w:p>
            <w:pPr>
              <w:pStyle w:val="Compact"/>
            </w:pPr>
            <w:r>
              <w:t xml:space="preserve">3</w:t>
            </w:r>
          </w:p>
        </w:tc>
        <w:tc>
          <w:tcPr/>
          <w:p>
            <w:pPr>
              <w:pStyle w:val="Compact"/>
            </w:pPr>
            <w:r>
              <w:t xml:space="preserve">Braak 2012</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w:t>
            </w:r>
          </w:p>
        </w:tc>
      </w:tr>
      <w:tr>
        <w:tc>
          <w:tcPr/>
          <w:p>
            <w:pPr>
              <w:pStyle w:val="Compact"/>
            </w:pPr>
            <w:r>
              <w:t xml:space="preserve">4</w:t>
            </w:r>
          </w:p>
        </w:tc>
        <w:tc>
          <w:tcPr/>
          <w:p>
            <w:pPr>
              <w:pStyle w:val="Compact"/>
            </w:pPr>
            <w:r>
              <w:t xml:space="preserve">Choi_MJ 2012</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w:t>
            </w:r>
          </w:p>
        </w:tc>
      </w:tr>
      <w:tr>
        <w:tc>
          <w:tcPr/>
          <w:p>
            <w:pPr>
              <w:pStyle w:val="Compact"/>
            </w:pPr>
            <w:r>
              <w:t xml:space="preserve">5</w:t>
            </w:r>
          </w:p>
        </w:tc>
        <w:tc>
          <w:tcPr/>
          <w:p>
            <w:pPr>
              <w:pStyle w:val="Compact"/>
            </w:pPr>
            <w:r>
              <w:t xml:space="preserve">Lee_WJ 2012</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FNA-only cohort; differential verification</w:t>
            </w:r>
          </w:p>
        </w:tc>
      </w:tr>
      <w:tr>
        <w:tc>
          <w:tcPr/>
          <w:p>
            <w:pPr>
              <w:pStyle w:val="Compact"/>
            </w:pPr>
            <w:r>
              <w:t xml:space="preserve">6</w:t>
            </w:r>
          </w:p>
        </w:tc>
        <w:tc>
          <w:tcPr/>
          <w:p>
            <w:pPr>
              <w:pStyle w:val="Compact"/>
            </w:pPr>
            <w:r>
              <w:t xml:space="preserve">Floridi 2014</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w:t>
            </w:r>
          </w:p>
        </w:tc>
      </w:tr>
      <w:tr>
        <w:tc>
          <w:tcPr/>
          <w:p>
            <w:pPr>
              <w:pStyle w:val="Compact"/>
            </w:pPr>
            <w:r>
              <w:t xml:space="preserve">7</w:t>
            </w:r>
          </w:p>
        </w:tc>
        <w:tc>
          <w:tcPr/>
          <w:p>
            <w:pPr>
              <w:pStyle w:val="Compact"/>
            </w:pPr>
            <w:r>
              <w:t xml:space="preserve">Lee 2014</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 largest single-centre cohort</w:t>
            </w:r>
          </w:p>
        </w:tc>
      </w:tr>
      <w:tr>
        <w:tc>
          <w:tcPr/>
          <w:p>
            <w:pPr>
              <w:pStyle w:val="Compact"/>
            </w:pPr>
            <w:r>
              <w:t xml:space="preserve">8</w:t>
            </w:r>
          </w:p>
        </w:tc>
        <w:tc>
          <w:tcPr/>
          <w:p>
            <w:pPr>
              <w:pStyle w:val="Compact"/>
            </w:pPr>
            <w:r>
              <w:t xml:space="preserve">Cheng 2015</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 small benign denominator</w:t>
            </w:r>
          </w:p>
        </w:tc>
      </w:tr>
      <w:tr>
        <w:tc>
          <w:tcPr/>
          <w:p>
            <w:pPr>
              <w:pStyle w:val="Compact"/>
            </w:pPr>
            <w:r>
              <w:t xml:space="preserve">9</w:t>
            </w:r>
          </w:p>
        </w:tc>
        <w:tc>
          <w:tcPr/>
          <w:p>
            <w:pPr>
              <w:pStyle w:val="Compact"/>
            </w:pPr>
            <w:r>
              <w:t xml:space="preserve">Jiao 2016</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≤2-cm cohort restriction; differential verification</w:t>
            </w:r>
          </w:p>
        </w:tc>
      </w:tr>
      <w:tr>
        <w:tc>
          <w:tcPr/>
          <w:p>
            <w:pPr>
              <w:pStyle w:val="Compact"/>
            </w:pPr>
            <w:r>
              <w:t xml:space="preserve">10</w:t>
            </w:r>
          </w:p>
        </w:tc>
        <w:tc>
          <w:tcPr/>
          <w:p>
            <w:pPr>
              <w:pStyle w:val="Compact"/>
            </w:pPr>
            <w:r>
              <w:t xml:space="preserve">Rotolo 2016</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10 indeterminate cases excluded; differential verification</w:t>
            </w:r>
          </w:p>
        </w:tc>
      </w:tr>
      <w:tr>
        <w:tc>
          <w:tcPr/>
          <w:p>
            <w:pPr>
              <w:pStyle w:val="Compact"/>
            </w:pPr>
            <w:r>
              <w:t xml:space="preserve">11</w:t>
            </w:r>
          </w:p>
        </w:tc>
        <w:tc>
          <w:tcPr/>
          <w:p>
            <w:pPr>
              <w:pStyle w:val="Compact"/>
            </w:pPr>
            <w:r>
              <w:t xml:space="preserve">Lee_Y 2018</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w:t>
            </w:r>
          </w:p>
        </w:tc>
      </w:tr>
      <w:tr>
        <w:tc>
          <w:tcPr/>
          <w:p>
            <w:pPr>
              <w:pStyle w:val="Compact"/>
            </w:pPr>
            <w:r>
              <w:t xml:space="preserve">12</w:t>
            </w:r>
          </w:p>
        </w:tc>
        <w:tc>
          <w:tcPr/>
          <w:p>
            <w:pPr>
              <w:pStyle w:val="Compact"/>
            </w:pPr>
            <w:r>
              <w:t xml:space="preserve">Fior 2019</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12.2% non-diagnostic ITD; differential verification</w:t>
            </w:r>
          </w:p>
        </w:tc>
      </w:tr>
      <w:tr>
        <w:tc>
          <w:tcPr/>
          <w:p>
            <w:pPr>
              <w:pStyle w:val="Compact"/>
            </w:pPr>
            <w:r>
              <w:t xml:space="preserve">13</w:t>
            </w:r>
          </w:p>
        </w:tc>
        <w:tc>
          <w:tcPr/>
          <w:p>
            <w:pPr>
              <w:pStyle w:val="Compact"/>
            </w:pPr>
            <w:r>
              <w:t xml:space="preserve">Akkakrisee 2020</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Comparative design; differential verification</w:t>
            </w:r>
          </w:p>
        </w:tc>
      </w:tr>
      <w:tr>
        <w:tc>
          <w:tcPr/>
          <w:p>
            <w:pPr>
              <w:pStyle w:val="Compact"/>
            </w:pPr>
            <w:r>
              <w:t xml:space="preserve">14</w:t>
            </w:r>
          </w:p>
        </w:tc>
        <w:tc>
          <w:tcPr/>
          <w:p>
            <w:pPr>
              <w:pStyle w:val="Compact"/>
            </w:pPr>
            <w:r>
              <w:t xml:space="preserve">Gulias-Soidan 2020</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Small benign denominator; differential verification</w:t>
            </w:r>
          </w:p>
        </w:tc>
      </w:tr>
      <w:tr>
        <w:tc>
          <w:tcPr/>
          <w:p>
            <w:pPr>
              <w:pStyle w:val="Compact"/>
            </w:pPr>
            <w:r>
              <w:t xml:space="preserve">15</w:t>
            </w:r>
          </w:p>
        </w:tc>
        <w:tc>
          <w:tcPr/>
          <w:p>
            <w:pPr>
              <w:pStyle w:val="Compact"/>
            </w:pPr>
            <w:r>
              <w:t xml:space="preserve">Fontana 2021</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PET/CT-CBCT fusion comparison; differential verification</w:t>
            </w:r>
          </w:p>
        </w:tc>
      </w:tr>
      <w:tr>
        <w:tc>
          <w:tcPr/>
          <w:p>
            <w:pPr>
              <w:pStyle w:val="Compact"/>
            </w:pPr>
            <w:r>
              <w:t xml:space="preserve">16</w:t>
            </w:r>
          </w:p>
        </w:tc>
        <w:tc>
          <w:tcPr/>
          <w:p>
            <w:pPr>
              <w:pStyle w:val="Compact"/>
            </w:pPr>
            <w:r>
              <w:t xml:space="preserve">Han 2022</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Differential verification</w:t>
            </w:r>
          </w:p>
        </w:tc>
      </w:tr>
      <w:tr>
        <w:tc>
          <w:tcPr/>
          <w:p>
            <w:pPr>
              <w:pStyle w:val="Compact"/>
            </w:pPr>
            <w:r>
              <w:t xml:space="preserve">17</w:t>
            </w:r>
          </w:p>
        </w:tc>
        <w:tc>
          <w:tcPr/>
          <w:p>
            <w:pPr>
              <w:pStyle w:val="Compact"/>
            </w:pPr>
            <w:r>
              <w:t xml:space="preserve">Ren 2022</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No consecutive statement; differential verification</w:t>
            </w:r>
          </w:p>
        </w:tc>
      </w:tr>
      <w:tr>
        <w:tc>
          <w:tcPr/>
          <w:p>
            <w:pPr>
              <w:pStyle w:val="Compact"/>
            </w:pPr>
            <w:r>
              <w:t xml:space="preserve">18</w:t>
            </w:r>
          </w:p>
        </w:tc>
        <w:tc>
          <w:tcPr/>
          <w:p>
            <w:pPr>
              <w:pStyle w:val="Compact"/>
            </w:pPr>
            <w:r>
              <w:t xml:space="preserve">Yang_L 2022</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Comparative design; differential verification</w:t>
            </w:r>
          </w:p>
        </w:tc>
      </w:tr>
      <w:tr>
        <w:tc>
          <w:tcPr/>
          <w:p>
            <w:pPr>
              <w:pStyle w:val="Compact"/>
            </w:pPr>
            <w:r>
              <w:t xml:space="preserve">19</w:t>
            </w:r>
          </w:p>
        </w:tc>
        <w:tc>
          <w:tcPr/>
          <w:p>
            <w:pPr>
              <w:pStyle w:val="Compact"/>
            </w:pPr>
            <w:r>
              <w:t xml:space="preserve">Cho 2024</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Intention-to-diagnose reconciliation; differential verification</w:t>
            </w:r>
          </w:p>
        </w:tc>
      </w:tr>
      <w:tr>
        <w:tc>
          <w:tcPr/>
          <w:p>
            <w:pPr>
              <w:pStyle w:val="Compact"/>
            </w:pPr>
            <w:r>
              <w:t xml:space="preserve">20</w:t>
            </w:r>
          </w:p>
        </w:tc>
        <w:tc>
          <w:tcPr/>
          <w:p>
            <w:pPr>
              <w:pStyle w:val="Compact"/>
            </w:pPr>
            <w:r>
              <w:t xml:space="preserve">Zou 2024</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19 indeterminate excluded; differential verification</w:t>
            </w:r>
          </w:p>
        </w:tc>
      </w:tr>
      <w:tr>
        <w:tc>
          <w:tcPr/>
          <w:p>
            <w:pPr>
              <w:pStyle w:val="Compact"/>
            </w:pPr>
            <w:r>
              <w:t xml:space="preserve">21</w:t>
            </w:r>
          </w:p>
        </w:tc>
        <w:tc>
          <w:tcPr/>
          <w:p>
            <w:pPr>
              <w:pStyle w:val="Compact"/>
            </w:pPr>
            <w:r>
              <w:t xml:space="preserve">Chen 2026</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Prospective feasibility; laser-guidance</w:t>
            </w:r>
          </w:p>
        </w:tc>
      </w:tr>
      <w:tr>
        <w:tc>
          <w:tcPr/>
          <w:p>
            <w:pPr>
              <w:pStyle w:val="Compact"/>
            </w:pPr>
            <w:r>
              <w:t xml:space="preserve">22</w:t>
            </w:r>
          </w:p>
        </w:tc>
        <w:tc>
          <w:tcPr/>
          <w:p>
            <w:pPr>
              <w:pStyle w:val="Compact"/>
            </w:pPr>
            <w:r>
              <w:t xml:space="preserve">Yuan 2026</w:t>
            </w:r>
          </w:p>
        </w:tc>
        <w:tc>
          <w:tcPr/>
          <w:p>
            <w:pPr>
              <w:pStyle w:val="Compact"/>
            </w:pPr>
            <w:r>
              <w:t xml:space="preserve">U</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L</w:t>
            </w:r>
          </w:p>
        </w:tc>
        <w:tc>
          <w:tcPr/>
          <w:p>
            <w:pPr>
              <w:pStyle w:val="Compact"/>
            </w:pPr>
            <w:r>
              <w:t xml:space="preserve">H</w:t>
            </w:r>
          </w:p>
        </w:tc>
        <w:tc>
          <w:tcPr/>
          <w:p>
            <w:pPr>
              <w:pStyle w:val="Compact"/>
            </w:pPr>
            <w:r>
              <w:t xml:space="preserve">CBCT-arm of SPECT/CT comparator; no consecutive statement; differential verification</w:t>
            </w:r>
          </w:p>
        </w:tc>
      </w:tr>
    </w:tbl>
    <w:p>
      <w:r>
        <w:pict>
          <v:rect style="width:0;height:1.5pt" o:hralign="center" o:hrstd="t" o:hr="t"/>
        </w:pict>
      </w:r>
    </w:p>
    <w:bookmarkEnd w:id="34"/>
    <w:bookmarkStart w:id="35" w:name="aggregate-consensus"/>
    <w:p>
      <w:pPr>
        <w:pStyle w:val="Heading2"/>
      </w:pPr>
      <w:r>
        <w:t xml:space="preserve">4. Aggregate (consensus)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Domain</w:t>
            </w:r>
          </w:p>
        </w:tc>
        <w:tc>
          <w:tcPr/>
          <w:p>
            <w:pPr>
              <w:pStyle w:val="Compact"/>
            </w:pPr>
            <w:r>
              <w:t xml:space="preserve">Low</w:t>
            </w:r>
          </w:p>
        </w:tc>
        <w:tc>
          <w:tcPr/>
          <w:p>
            <w:pPr>
              <w:pStyle w:val="Compact"/>
            </w:pPr>
            <w:r>
              <w:t xml:space="preserve">Unclear</w:t>
            </w:r>
          </w:p>
        </w:tc>
        <w:tc>
          <w:tcPr/>
          <w:p>
            <w:pPr>
              <w:pStyle w:val="Compact"/>
            </w:pPr>
            <w:r>
              <w:t xml:space="preserve">High</w:t>
            </w:r>
          </w:p>
        </w:tc>
      </w:tr>
      <w:tr>
        <w:tc>
          <w:tcPr/>
          <w:p>
            <w:pPr>
              <w:pStyle w:val="Compact"/>
            </w:pPr>
            <w:r>
              <w:t xml:space="preserve">D1 Risk</w:t>
            </w:r>
          </w:p>
        </w:tc>
        <w:tc>
          <w:tcPr/>
          <w:p>
            <w:pPr>
              <w:pStyle w:val="Compact"/>
            </w:pPr>
            <w:r>
              <w:rPr>
                <w:b/>
                <w:bCs/>
              </w:rPr>
              <w:t xml:space="preserve">14</w:t>
            </w:r>
          </w:p>
        </w:tc>
        <w:tc>
          <w:tcPr/>
          <w:p>
            <w:pPr>
              <w:pStyle w:val="Compact"/>
            </w:pPr>
            <w:r>
              <w:rPr>
                <w:b/>
                <w:bCs/>
              </w:rPr>
              <w:t xml:space="preserve">8</w:t>
            </w:r>
          </w:p>
        </w:tc>
        <w:tc>
          <w:tcPr/>
          <w:p>
            <w:pPr>
              <w:pStyle w:val="Compact"/>
            </w:pPr>
            <w:r>
              <w:t xml:space="preserve">0</w:t>
            </w:r>
          </w:p>
        </w:tc>
      </w:tr>
      <w:tr>
        <w:tc>
          <w:tcPr/>
          <w:p>
            <w:pPr>
              <w:pStyle w:val="Compact"/>
            </w:pPr>
            <w:r>
              <w:t xml:space="preserve">D1 Applicability</w:t>
            </w:r>
          </w:p>
        </w:tc>
        <w:tc>
          <w:tcPr/>
          <w:p>
            <w:pPr>
              <w:pStyle w:val="Compact"/>
            </w:pPr>
            <w:r>
              <w:t xml:space="preserve">22</w:t>
            </w:r>
          </w:p>
        </w:tc>
        <w:tc>
          <w:tcPr/>
          <w:p>
            <w:pPr>
              <w:pStyle w:val="Compact"/>
            </w:pPr>
            <w:r>
              <w:t xml:space="preserve">0</w:t>
            </w:r>
          </w:p>
        </w:tc>
        <w:tc>
          <w:tcPr/>
          <w:p>
            <w:pPr>
              <w:pStyle w:val="Compact"/>
            </w:pPr>
            <w:r>
              <w:t xml:space="preserve">0</w:t>
            </w:r>
          </w:p>
        </w:tc>
      </w:tr>
      <w:tr>
        <w:tc>
          <w:tcPr/>
          <w:p>
            <w:pPr>
              <w:pStyle w:val="Compact"/>
            </w:pPr>
            <w:r>
              <w:t xml:space="preserve">D2 Risk</w:t>
            </w:r>
          </w:p>
        </w:tc>
        <w:tc>
          <w:tcPr/>
          <w:p>
            <w:pPr>
              <w:pStyle w:val="Compact"/>
            </w:pPr>
            <w:r>
              <w:t xml:space="preserve">21</w:t>
            </w:r>
          </w:p>
        </w:tc>
        <w:tc>
          <w:tcPr/>
          <w:p>
            <w:pPr>
              <w:pStyle w:val="Compact"/>
            </w:pPr>
            <w:r>
              <w:t xml:space="preserve">1</w:t>
            </w:r>
          </w:p>
        </w:tc>
        <w:tc>
          <w:tcPr/>
          <w:p>
            <w:pPr>
              <w:pStyle w:val="Compact"/>
            </w:pPr>
            <w:r>
              <w:t xml:space="preserve">0</w:t>
            </w:r>
          </w:p>
        </w:tc>
      </w:tr>
      <w:tr>
        <w:tc>
          <w:tcPr/>
          <w:p>
            <w:pPr>
              <w:pStyle w:val="Compact"/>
            </w:pPr>
            <w:r>
              <w:t xml:space="preserve">D2 Applicability</w:t>
            </w:r>
          </w:p>
        </w:tc>
        <w:tc>
          <w:tcPr/>
          <w:p>
            <w:pPr>
              <w:pStyle w:val="Compact"/>
            </w:pPr>
            <w:r>
              <w:t xml:space="preserve">22</w:t>
            </w:r>
          </w:p>
        </w:tc>
        <w:tc>
          <w:tcPr/>
          <w:p>
            <w:pPr>
              <w:pStyle w:val="Compact"/>
            </w:pPr>
            <w:r>
              <w:t xml:space="preserve">0</w:t>
            </w:r>
          </w:p>
        </w:tc>
        <w:tc>
          <w:tcPr/>
          <w:p>
            <w:pPr>
              <w:pStyle w:val="Compact"/>
            </w:pPr>
            <w:r>
              <w:t xml:space="preserve">0</w:t>
            </w:r>
          </w:p>
        </w:tc>
      </w:tr>
      <w:tr>
        <w:tc>
          <w:tcPr/>
          <w:p>
            <w:pPr>
              <w:pStyle w:val="Compact"/>
            </w:pPr>
            <w:r>
              <w:t xml:space="preserve">D3 Risk</w:t>
            </w:r>
          </w:p>
        </w:tc>
        <w:tc>
          <w:tcPr/>
          <w:p>
            <w:pPr>
              <w:pStyle w:val="Compact"/>
            </w:pPr>
            <w:r>
              <w:t xml:space="preserve">22</w:t>
            </w:r>
          </w:p>
        </w:tc>
        <w:tc>
          <w:tcPr/>
          <w:p>
            <w:pPr>
              <w:pStyle w:val="Compact"/>
            </w:pPr>
            <w:r>
              <w:t xml:space="preserve">0</w:t>
            </w:r>
          </w:p>
        </w:tc>
        <w:tc>
          <w:tcPr/>
          <w:p>
            <w:pPr>
              <w:pStyle w:val="Compact"/>
            </w:pPr>
            <w:r>
              <w:t xml:space="preserve">0</w:t>
            </w:r>
          </w:p>
        </w:tc>
      </w:tr>
      <w:tr>
        <w:tc>
          <w:tcPr/>
          <w:p>
            <w:pPr>
              <w:pStyle w:val="Compact"/>
            </w:pPr>
            <w:r>
              <w:t xml:space="preserve">D3 Applicability</w:t>
            </w:r>
          </w:p>
        </w:tc>
        <w:tc>
          <w:tcPr/>
          <w:p>
            <w:pPr>
              <w:pStyle w:val="Compact"/>
            </w:pPr>
            <w:r>
              <w:t xml:space="preserve">22</w:t>
            </w:r>
          </w:p>
        </w:tc>
        <w:tc>
          <w:tcPr/>
          <w:p>
            <w:pPr>
              <w:pStyle w:val="Compact"/>
            </w:pPr>
            <w:r>
              <w:t xml:space="preserve">0</w:t>
            </w:r>
          </w:p>
        </w:tc>
        <w:tc>
          <w:tcPr/>
          <w:p>
            <w:pPr>
              <w:pStyle w:val="Compact"/>
            </w:pPr>
            <w:r>
              <w:t xml:space="preserve">0</w:t>
            </w:r>
          </w:p>
        </w:tc>
      </w:tr>
      <w:tr>
        <w:tc>
          <w:tcPr/>
          <w:p>
            <w:pPr>
              <w:pStyle w:val="Compact"/>
            </w:pPr>
            <w:r>
              <w:t xml:space="preserve">D4 Risk</w:t>
            </w:r>
          </w:p>
        </w:tc>
        <w:tc>
          <w:tcPr/>
          <w:p>
            <w:pPr>
              <w:pStyle w:val="Compact"/>
            </w:pPr>
            <w:r>
              <w:t xml:space="preserve">0</w:t>
            </w:r>
          </w:p>
        </w:tc>
        <w:tc>
          <w:tcPr/>
          <w:p>
            <w:pPr>
              <w:pStyle w:val="Compact"/>
            </w:pPr>
            <w:r>
              <w:t xml:space="preserve">0</w:t>
            </w:r>
          </w:p>
        </w:tc>
        <w:tc>
          <w:tcPr/>
          <w:p>
            <w:pPr>
              <w:pStyle w:val="Compact"/>
            </w:pPr>
            <w:r>
              <w:rPr>
                <w:b/>
                <w:bCs/>
              </w:rPr>
              <w:t xml:space="preserve">22</w:t>
            </w:r>
          </w:p>
        </w:tc>
      </w:tr>
    </w:tbl>
    <w:p>
      <w:pPr>
        <w:pStyle w:val="BodyText"/>
      </w:pPr>
      <w:r>
        <w:t xml:space="preserve">The consensus Domain 1 distribution was 14 Low / 8 Unclear across the 22 studies. Discordant first-pass ratings (Choi_MJ 2012, Floridi 2014, Cheng 2015, and Yang_L 2022 resolved to Low; Ren 2022 to Unclear) were settled by the pre-specified consecutive or random-sampling rule. The late-screening addition Yuan 2026 (Domain 1 Unclear, concordant across both independent ratings) is included in this total: D1 14L/8U; D2 21L/1U; D3 22L; D4 22H.</w:t>
      </w:r>
    </w:p>
    <w:p>
      <w:r>
        <w:pict>
          <v:rect style="width:0;height:1.5pt" o:hralign="center" o:hrstd="t" o:hr="t"/>
        </w:pict>
      </w:r>
    </w:p>
    <w:bookmarkEnd w:id="35"/>
    <w:bookmarkStart w:id="36" w:name="narrative-summary"/>
    <w:p>
      <w:pPr>
        <w:pStyle w:val="Heading2"/>
      </w:pPr>
      <w:r>
        <w:t xml:space="preserve">5. Narrative summary</w:t>
      </w:r>
    </w:p>
    <w:p>
      <w:pPr>
        <w:pStyle w:val="FirstParagraph"/>
      </w:pPr>
      <w:r>
        <w:t xml:space="preserve">Risk of bias was uniformly high on Domain 4 (Flow and Timing) across all 22 studies owing to differential verification bias, in which patients with a malignant biopsy result typically proceeded to surgical resection with histologic confirmation while those with a benign biopsy result were verified by imaging follow-up (commonly 6–24 months). This structural feature of percutaneous lung biopsy diagnostic accuracy studies inflates sensitivity and specificity estimates relative to a uniform reference standard. Domains 2 and 3 were rated low risk for 21 of 22 and all 22 studies, respectively (Hwang 2010 was rated unclear on the index-test domain for inadequate reporting of reference-standard-blinded interpretation). Domain 1 risk was low in 14 studies and unclear in eight; all unclear ratings reflected absence of explicit consecutive or random sampling language in retrospective cohort reports, not active evidence of selection bias. Applicability concerns were low across all domains and studies.</w:t>
      </w:r>
    </w:p>
    <w:p>
      <w:pPr>
        <w:pStyle w:val="BodyText"/>
      </w:pPr>
      <w:r>
        <w:t xml:space="preserve">Because all 22 studies were high risk on Domain 4, the pre-specified sensitivity analysis restricted to low- and unclear-risk studies was not executable. The pooled estimates should therefore be interpreted as a plausible upper bound of true diagnostic performance.</w:t>
      </w:r>
    </w:p>
    <w:p>
      <w:r>
        <w:pict>
          <v:rect style="width:0;height:1.5pt" o:hralign="center" o:hrstd="t" o:hr="t"/>
        </w:pict>
      </w:r>
    </w:p>
    <w:bookmarkEnd w:id="36"/>
    <w:bookmarkStart w:id="37" w:name="adjudication-process"/>
    <w:p>
      <w:pPr>
        <w:pStyle w:val="Heading2"/>
      </w:pPr>
      <w:r>
        <w:t xml:space="preserve">6. Adjudication process</w:t>
      </w:r>
    </w:p>
    <w:p>
      <w:pPr>
        <w:pStyle w:val="Compact"/>
        <w:numPr>
          <w:ilvl w:val="0"/>
          <w:numId w:val="1006"/>
        </w:numPr>
      </w:pPr>
      <w:r>
        <w:t xml:space="preserve">The first reviewer completed an independent rating of all studies.</w:t>
      </w:r>
    </w:p>
    <w:p>
      <w:pPr>
        <w:pStyle w:val="Compact"/>
        <w:numPr>
          <w:ilvl w:val="0"/>
          <w:numId w:val="1006"/>
        </w:numPr>
      </w:pPr>
      <w:r>
        <w:t xml:space="preserve">The second reviewer completed an independent blinded rating.</w:t>
      </w:r>
    </w:p>
    <w:p>
      <w:pPr>
        <w:pStyle w:val="Compact"/>
        <w:numPr>
          <w:ilvl w:val="0"/>
          <w:numId w:val="1006"/>
        </w:numPr>
      </w:pPr>
      <w:r>
        <w:t xml:space="preserve">Per-study comparison identified 10 disagreements, all on Domain 1; Domains 2–4 and applicability agreed perfectly.</w:t>
      </w:r>
    </w:p>
    <w:p>
      <w:pPr>
        <w:pStyle w:val="Compact"/>
        <w:numPr>
          <w:ilvl w:val="0"/>
          <w:numId w:val="1006"/>
        </w:numPr>
      </w:pPr>
      <w:r>
        <w:t xml:space="preserve">The adjudication rule was pre-specified: rely on explicit consecutive or random sampling language in the primary source, and upgrade to Low only when such language is found.</w:t>
      </w:r>
    </w:p>
    <w:p>
      <w:pPr>
        <w:pStyle w:val="Compact"/>
        <w:numPr>
          <w:ilvl w:val="0"/>
          <w:numId w:val="1006"/>
        </w:numPr>
      </w:pPr>
      <w:r>
        <w:t xml:space="preserve">Each of the 10 Domain-1 disagreements was resolved by direct re-reading of the Methods or Patient Selection section in the primary article (see Section 2).</w:t>
      </w:r>
    </w:p>
    <w:p>
      <w:pPr>
        <w:pStyle w:val="Compact"/>
        <w:numPr>
          <w:ilvl w:val="0"/>
          <w:numId w:val="1006"/>
        </w:numPr>
      </w:pPr>
      <w:r>
        <w:t xml:space="preserve">No third-party arbitration was required; all 10 disputes were resolved by the pre-specified rule.</w:t>
      </w:r>
    </w:p>
    <w:p>
      <w:pPr>
        <w:pStyle w:val="Compact"/>
        <w:numPr>
          <w:ilvl w:val="0"/>
          <w:numId w:val="1006"/>
        </w:numPr>
      </w:pPr>
      <w:r>
        <w:t xml:space="preserve">The uniformly high-risk Domain-4 consensus reflects differential verification across the entire evidence base.</w:t>
      </w:r>
    </w:p>
    <w:p>
      <w:pPr>
        <w:pStyle w:val="Compact"/>
        <w:numPr>
          <w:ilvl w:val="0"/>
          <w:numId w:val="1006"/>
        </w:numPr>
      </w:pPr>
      <w:r>
        <w:t xml:space="preserve">Yuan 2026, added during late screening, was independently blind-rated; its ratings (D1 Unclear; D2 Low; D3 Low; D4 High; applicability D1–D3 Low) were concordant across both reviewers, so no adjudication was required.</w:t>
      </w:r>
    </w:p>
    <w:p>
      <w:r>
        <w:pict>
          <v:rect style="width:0;height:1.5pt" o:hralign="center" o:hrstd="t" o:hr="t"/>
        </w:pict>
      </w:r>
    </w:p>
    <w:bookmarkEnd w:id="37"/>
    <w:bookmarkStart w:id="38" w:name="traffic-light-figure"/>
    <w:p>
      <w:pPr>
        <w:pStyle w:val="Heading2"/>
      </w:pPr>
      <w:r>
        <w:t xml:space="preserve">7. Traffic-light figure</w:t>
      </w:r>
    </w:p>
    <w:p>
      <w:pPr>
        <w:pStyle w:val="FirstParagraph"/>
      </w:pPr>
      <w:r>
        <w:t xml:space="preserve">Per-study QUADAS-2 domain-level judgements are displayed as a traffic-light figure (manuscript Figure 5) and the aggregate Low/Unclear/High distribution as a stacked bar plot (manuscript Figure 6), generated with the</w:t>
      </w:r>
      <w:r>
        <w:t xml:space="preserve"> </w:t>
      </w:r>
      <w:r>
        <w:rPr>
          <w:rStyle w:val="VerbatimChar"/>
        </w:rPr>
        <w:t xml:space="preserve">robvis</w:t>
      </w:r>
      <w:r>
        <w:t xml:space="preserve"> </w:t>
      </w:r>
      <w:r>
        <w:t xml:space="preserve">R package (Low = green, Unclear = yellow, High = red).</w:t>
      </w:r>
    </w:p>
    <w:bookmarkEnd w:id="38"/>
    <w:bookmarkEnd w:id="39"/>
    <w:bookmarkStart w:id="40" w:name="X6db354f115a5fc2fa653b032a24854eb30e0469"/>
    <w:p>
      <w:pPr>
        <w:pStyle w:val="Heading1"/>
      </w:pPr>
      <w:r>
        <w:t xml:space="preserve">Supplementary Material 6. PROSPERO Version 1.2 amendment log</w:t>
      </w:r>
    </w:p>
    <w:p>
      <w:pPr>
        <w:pStyle w:val="FirstParagraph"/>
      </w:pPr>
      <w:r>
        <w:rPr>
          <w:b/>
          <w:bCs/>
        </w:rPr>
        <w:t xml:space="preserve">Registration ID</w:t>
      </w:r>
      <w:r>
        <w:t xml:space="preserve">: CRD420261370382</w:t>
      </w:r>
      <w:r>
        <w:t xml:space="preserve"> </w:t>
      </w:r>
      <w:r>
        <w:rPr>
          <w:b/>
          <w:bCs/>
        </w:rPr>
        <w:t xml:space="preserve">Public record URL</w:t>
      </w:r>
      <w:r>
        <w:t xml:space="preserve">: https://www.crd.york.ac.uk/PROSPERO/view/CRD420261370382</w:t>
      </w:r>
      <w:r>
        <w:t xml:space="preserve"> </w:t>
      </w:r>
      <w:r>
        <w:rPr>
          <w:b/>
          <w:bCs/>
        </w:rPr>
        <w:t xml:space="preserve">PROSPERO official version label</w:t>
      </w:r>
      <w:r>
        <w:t xml:space="preserve">: Version 1.2 (published 11 May 2026, 10:53 UTC). The revision-note body labels this as</w:t>
      </w:r>
      <w:r>
        <w:t xml:space="preserve"> </w:t>
      </w:r>
      <w:r>
        <w:t xml:space="preserve">“Amendment v2”</w:t>
      </w:r>
      <w:r>
        <w:t xml:space="preserve"> </w:t>
      </w:r>
      <w:r>
        <w:t xml:space="preserve">— the two terms refer to the same record edit.</w:t>
      </w:r>
      <w:r>
        <w:t xml:space="preserve"> </w:t>
      </w:r>
      <w:r>
        <w:rPr>
          <w:b/>
          <w:bCs/>
        </w:rPr>
        <w:t xml:space="preserve">Manuscript</w:t>
      </w:r>
      <w:r>
        <w:t xml:space="preserve">: DIR-2026-151 (R1 revision)</w:t>
      </w:r>
    </w:p>
    <w:p>
      <w:pPr>
        <w:pStyle w:val="BodyText"/>
      </w:pPr>
      <w:r>
        <w:t xml:space="preserve">This file reproduces the PROSPERO Version 1.2 revision-note text exactly as submitted to the public registry, with internal decision dates and detail per change. The three methodological updates are described individually rather than bundled under a single amendment.</w:t>
      </w:r>
    </w:p>
    <w:p>
      <w:r>
        <w:pict>
          <v:rect style="width:0;height:1.5pt" o:hralign="center" o:hrstd="t" o:hr="t"/>
        </w:pict>
      </w:r>
    </w:p>
    <w:bookmarkStart w:id="77" w:name="Xe9d9847ba9e439b530c782f7d5e30dde6614a0b"/>
    <w:p>
      <w:pPr>
        <w:pStyle w:val="Heading2"/>
      </w:pPr>
      <w:r>
        <w:t xml:space="preserve">PROSPERO portal revision-note text (verbatim, as submitted 11 May 2026)</w:t>
      </w:r>
    </w:p>
    <w:p>
      <w:pPr>
        <w:pStyle w:val="BlockText"/>
      </w:pPr>
      <w:r>
        <w:t xml:space="preserve">Amendment v2 — 2026-04-22 (prior to submission to Diagnostic and Interventional Radiology). Three transparency-oriented updates; eligibility criteria, reference standard, and primary bivariate Reitsma model unchanged.</w:t>
      </w:r>
    </w:p>
    <w:p>
      <w:pPr>
        <w:pStyle w:val="BlockText"/>
      </w:pPr>
      <w:r>
        <w:rPr>
          <w:b/>
          <w:bCs/>
        </w:rPr>
        <w:t xml:space="preserve">1. Information sources — Cochrane CENTRAL added.</w:t>
      </w:r>
      <w:r>
        <w:t xml:space="preserve"> </w:t>
      </w:r>
      <w:r>
        <w:t xml:space="preserve">Protocol v1 declared PubMed + Embase only with an a priori rationale that CENTRAL primarily indexes RCTs and yield for a CBCT-biopsy DTA review would be negligible. A confirmatory CENTRAL search (Issue 3 of 12, March 2026) was executed on 2026-04-22 using the same conceptual blocks. 7 records retrieved: 5 trial registrations without results, 1 electromagnetic-navigation bronchoscopy study, and 1 record already captured via Embase. Zero additional eligible studies; final set unchanged at k = 22 bivariate / 24 qualitative. Strategy and records appended as Supplementary Material 1.</w:t>
      </w:r>
    </w:p>
    <w:p>
      <w:pPr>
        <w:pStyle w:val="BlockText"/>
      </w:pPr>
      <w:r>
        <w:rPr>
          <w:b/>
          <w:bCs/>
        </w:rPr>
        <w:t xml:space="preserve">2. Post-hoc intention-to-diagnose (ITD) sensitivity analysis.</w:t>
      </w:r>
      <w:r>
        <w:t xml:space="preserve"> </w:t>
      </w:r>
      <w:r>
        <w:t xml:space="preserve">Not prespecified. Restricted to 18 studies where non-diagnostic specimens could be reconciled under a common ITD rule (non-diagnostic counted as test-negative). Pooled estimates (sensitivity 92.3%, specificity 96.2%, AUC 0.973) were near-identical to the primary estimates (92.2% / 96.7% / 0.974), confirming robustness. Flagged as post-hoc throughout.</w:t>
      </w:r>
    </w:p>
    <w:p>
      <w:pPr>
        <w:pStyle w:val="BlockText"/>
      </w:pPr>
      <w:r>
        <w:rPr>
          <w:b/>
          <w:bCs/>
        </w:rPr>
        <w:t xml:space="preserve">3. Prespecified subgroup analyses not executed.</w:t>
      </w:r>
      <w:r>
        <w:t xml:space="preserve"> </w:t>
      </w:r>
      <w:r>
        <w:t xml:space="preserve">Subgroups by CBCT generation, lesion size, and prospective vs. retrospective design were prespecified but not performed because per-patient data (needle-pass counts, targeting workflow, lesion-size distributions) were not consistently reported across eligible studies. Departure disclosed in Methods and Discussion; a technology-comparison review with per-patient reconstruction is proposed as future work.</w:t>
      </w:r>
    </w:p>
    <w:p>
      <w:pPr>
        <w:pStyle w:val="BlockText"/>
      </w:pPr>
      <w:r>
        <w:t xml:space="preserve">No other protocol elements modified. PRISMA-DTA 2018 reporting and QUADAS-2 RoB procedure unchanged.</w:t>
      </w:r>
    </w:p>
    <w:p>
      <w:r>
        <w:pict>
          <v:rect style="width:0;height:1.5pt" o:hralign="center" o:hrstd="t" o:hr="t"/>
        </w:pict>
      </w:r>
    </w:p>
    <w:bookmarkEnd w:id="77"/>
    <w:bookmarkStart w:id="78" w:name="internal-decision-dates-per-change"/>
    <w:p>
      <w:pPr>
        <w:pStyle w:val="Heading2"/>
      </w:pPr>
      <w:r>
        <w:t xml:space="preserve">Internal decision dates (per change)</w:t>
      </w:r>
    </w:p>
    <w:p>
      <w:pPr>
        <w:pStyle w:val="FirstParagraph"/>
      </w:pPr>
      <w:r>
        <w:t xml:space="preserve">PROSPERO records the date the amendment is published on the public registry, which may differ from the internal team decision date by hours to days. The internal decision dates below reflect when each methodological change was actually adopted by the review team and applied in the analysis or manuscript. The portal publication timestamp for Version 1.2 is</w:t>
      </w:r>
      <w:r>
        <w:t xml:space="preserve"> </w:t>
      </w:r>
      <w:r>
        <w:rPr>
          <w:b/>
          <w:bCs/>
        </w:rPr>
        <w:t xml:space="preserve">11 May 2026, 10:53 UTC</w:t>
      </w:r>
      <w:r>
        <w:t xml:space="preserve"> </w:t>
      </w:r>
      <w:r>
        <w:t xml:space="preserve">(editing status:</w:t>
      </w:r>
      <w:r>
        <w:t xml:space="preserve"> </w:t>
      </w:r>
      <w:r>
        <w:t xml:space="preserve">“Stable”</w:t>
      </w:r>
      <w:r>
        <w:t xml:space="preserve">; PROSPERO record history confirms publication).</w:t>
      </w:r>
    </w:p>
    <w:tbl>
      <w:tblPr>
        <w:tblStyle w:val="Table"/>
        <w:tblW w:type="pct" w:w="5000"/>
        <w:tblLayout w:type="fixed"/>
        <w:tblLook w:firstRow="1" w:lastRow="0" w:firstColumn="0" w:lastColumn="0" w:noHBand="0" w:noVBand="0" w:val="0020"/>
      </w:tblPr>
      <w:tblGrid>
        <w:gridCol w:w="516"/>
        <w:gridCol w:w="1377"/>
        <w:gridCol w:w="4132"/>
        <w:gridCol w:w="1893"/>
      </w:tblGrid>
      <w:tr>
        <w:trPr>
          <w:tblHeader w:val="on"/>
        </w:trPr>
        <w:tc>
          <w:tcPr/>
          <w:p>
            <w:pPr>
              <w:pStyle w:val="Compact"/>
            </w:pPr>
            <w:r>
              <w:t xml:space="preserve">#</w:t>
            </w:r>
          </w:p>
        </w:tc>
        <w:tc>
          <w:tcPr/>
          <w:p>
            <w:pPr>
              <w:pStyle w:val="Compact"/>
            </w:pPr>
            <w:r>
              <w:t xml:space="preserve">Change</w:t>
            </w:r>
          </w:p>
        </w:tc>
        <w:tc>
          <w:tcPr/>
          <w:p>
            <w:pPr>
              <w:pStyle w:val="Compact"/>
            </w:pPr>
            <w:r>
              <w:t xml:space="preserve">Internal decision date</w:t>
            </w:r>
          </w:p>
        </w:tc>
        <w:tc>
          <w:tcPr/>
          <w:p>
            <w:pPr>
              <w:pStyle w:val="Compact"/>
            </w:pPr>
            <w:r>
              <w:t xml:space="preserve">Rationale</w:t>
            </w:r>
          </w:p>
        </w:tc>
      </w:tr>
      <w:tr>
        <w:tc>
          <w:tcPr/>
          <w:p>
            <w:pPr>
              <w:pStyle w:val="Compact"/>
            </w:pPr>
            <w:r>
              <w:t xml:space="preserve">1</w:t>
            </w:r>
          </w:p>
        </w:tc>
        <w:tc>
          <w:tcPr/>
          <w:p>
            <w:pPr>
              <w:pStyle w:val="Compact"/>
            </w:pPr>
            <w:r>
              <w:t xml:space="preserve">Cochrane CENTRAL search added</w:t>
            </w:r>
          </w:p>
        </w:tc>
        <w:tc>
          <w:tcPr/>
          <w:p>
            <w:pPr>
              <w:pStyle w:val="Compact"/>
            </w:pPr>
            <w:r>
              <w:t xml:space="preserve">2026-04-22</w:t>
            </w:r>
          </w:p>
        </w:tc>
        <w:tc>
          <w:tcPr/>
          <w:p>
            <w:pPr>
              <w:pStyle w:val="Compact"/>
            </w:pPr>
            <w:r>
              <w:t xml:space="preserve">Pre-submission completeness check; PRISMA-DTA recommends multi-database searches</w:t>
            </w:r>
          </w:p>
        </w:tc>
      </w:tr>
      <w:tr>
        <w:tc>
          <w:tcPr/>
          <w:p>
            <w:pPr>
              <w:pStyle w:val="Compact"/>
            </w:pPr>
            <w:r>
              <w:t xml:space="preserve">2</w:t>
            </w:r>
          </w:p>
        </w:tc>
        <w:tc>
          <w:tcPr/>
          <w:p>
            <w:pPr>
              <w:pStyle w:val="Compact"/>
            </w:pPr>
            <w:r>
              <w:t xml:space="preserve">Post-hoc intention-to-diagnose sensitivity analysis</w:t>
            </w:r>
          </w:p>
        </w:tc>
        <w:tc>
          <w:tcPr/>
          <w:p>
            <w:pPr>
              <w:pStyle w:val="Compact"/>
            </w:pPr>
            <w:r>
              <w:t xml:space="preserve">2026-04-19</w:t>
            </w:r>
          </w:p>
        </w:tc>
        <w:tc>
          <w:tcPr/>
          <w:p>
            <w:pPr>
              <w:pStyle w:val="Compact"/>
            </w:pPr>
            <w:r>
              <w:t xml:space="preserve">Robustness check after dual extraction was complete; the magnitude of non-diagnostic-handling heterogeneity could only be assessed after extraction</w:t>
            </w:r>
          </w:p>
        </w:tc>
      </w:tr>
      <w:tr>
        <w:tc>
          <w:tcPr/>
          <w:p>
            <w:pPr>
              <w:pStyle w:val="Compact"/>
            </w:pPr>
            <w:r>
              <w:t xml:space="preserve">3</w:t>
            </w:r>
          </w:p>
        </w:tc>
        <w:tc>
          <w:tcPr/>
          <w:p>
            <w:pPr>
              <w:pStyle w:val="Compact"/>
            </w:pPr>
            <w:r>
              <w:t xml:space="preserve">Subgroup framing clarified as exploratory</w:t>
            </w:r>
          </w:p>
        </w:tc>
        <w:tc>
          <w:tcPr/>
          <w:p>
            <w:pPr>
              <w:pStyle w:val="Compact"/>
            </w:pPr>
            <w:r>
              <w:t xml:space="preserve">2026-04-21</w:t>
            </w:r>
          </w:p>
        </w:tc>
        <w:tc>
          <w:tcPr/>
          <w:p>
            <w:pPr>
              <w:pStyle w:val="Compact"/>
            </w:pPr>
            <w:r>
              <w:t xml:space="preserve">Stratified bivariate-Reitsma subgroup inference precluded by data sparsity (per-patient information not consistently available) and by conflation of technology-era with STARD 2015 reporting-standard era</w:t>
            </w:r>
          </w:p>
        </w:tc>
      </w:tr>
    </w:tbl>
    <w:bookmarkEnd w:id="78"/>
    <w:bookmarkStart w:id="79" w:name="impact-on-synthesis-per-change"/>
    <w:p>
      <w:pPr>
        <w:pStyle w:val="Heading2"/>
      </w:pPr>
      <w:r>
        <w:t xml:space="preserve">Impact on synthesis (per change)</w:t>
      </w:r>
    </w:p>
    <w:tbl>
      <w:tblPr>
        <w:tblStyle w:val="Table"/>
        <w:tblW w:type="pct" w:w="5000"/>
        <w:tblLayout w:type="fixed"/>
        <w:tblLook w:firstRow="1" w:lastRow="0" w:firstColumn="0" w:lastColumn="0" w:noHBand="0" w:noVBand="0" w:val="0020"/>
      </w:tblPr>
      <w:tblGrid>
        <w:gridCol w:w="371"/>
        <w:gridCol w:w="990"/>
        <w:gridCol w:w="3093"/>
        <w:gridCol w:w="3465"/>
      </w:tblGrid>
      <w:tr>
        <w:trPr>
          <w:tblHeader w:val="on"/>
        </w:trPr>
        <w:tc>
          <w:tcPr/>
          <w:p>
            <w:pPr>
              <w:pStyle w:val="Compact"/>
            </w:pPr>
            <w:r>
              <w:t xml:space="preserve">#</w:t>
            </w:r>
          </w:p>
        </w:tc>
        <w:tc>
          <w:tcPr/>
          <w:p>
            <w:pPr>
              <w:pStyle w:val="Compact"/>
            </w:pPr>
            <w:r>
              <w:t xml:space="preserve">Change</w:t>
            </w:r>
          </w:p>
        </w:tc>
        <w:tc>
          <w:tcPr/>
          <w:p>
            <w:pPr>
              <w:pStyle w:val="Compact"/>
            </w:pPr>
            <w:r>
              <w:t xml:space="preserve">Effect on synthesis set</w:t>
            </w:r>
          </w:p>
        </w:tc>
        <w:tc>
          <w:tcPr/>
          <w:p>
            <w:pPr>
              <w:pStyle w:val="Compact"/>
            </w:pPr>
            <w:r>
              <w:t xml:space="preserve">Effect on pooled estimates</w:t>
            </w:r>
          </w:p>
        </w:tc>
      </w:tr>
      <w:tr>
        <w:tc>
          <w:tcPr/>
          <w:p>
            <w:pPr>
              <w:pStyle w:val="Compact"/>
            </w:pPr>
            <w:r>
              <w:t xml:space="preserve">1</w:t>
            </w:r>
          </w:p>
        </w:tc>
        <w:tc>
          <w:tcPr/>
          <w:p>
            <w:pPr>
              <w:pStyle w:val="Compact"/>
            </w:pPr>
            <w:r>
              <w:t xml:space="preserve">CENTRAL search</w:t>
            </w:r>
          </w:p>
        </w:tc>
        <w:tc>
          <w:tcPr/>
          <w:p>
            <w:pPr>
              <w:pStyle w:val="Compact"/>
            </w:pPr>
            <w:r>
              <w:t xml:space="preserve">k unchanged (22 bivariate / 24 qualitative)</w:t>
            </w:r>
          </w:p>
        </w:tc>
        <w:tc>
          <w:tcPr/>
          <w:p>
            <w:pPr>
              <w:pStyle w:val="Compact"/>
            </w:pPr>
            <w:r>
              <w:t xml:space="preserve">Unchanged</w:t>
            </w:r>
          </w:p>
        </w:tc>
      </w:tr>
      <w:tr>
        <w:tc>
          <w:tcPr/>
          <w:p>
            <w:pPr>
              <w:pStyle w:val="Compact"/>
            </w:pPr>
            <w:r>
              <w:t xml:space="preserve">2</w:t>
            </w:r>
          </w:p>
        </w:tc>
        <w:tc>
          <w:tcPr/>
          <w:p>
            <w:pPr>
              <w:pStyle w:val="Compact"/>
            </w:pPr>
            <w:r>
              <w:t xml:space="preserve">ITD-only sensitivity</w:t>
            </w:r>
          </w:p>
        </w:tc>
        <w:tc>
          <w:tcPr/>
          <w:p>
            <w:pPr>
              <w:pStyle w:val="Compact"/>
            </w:pPr>
            <w:r>
              <w:t xml:space="preserve">k = 18 subset</w:t>
            </w:r>
          </w:p>
        </w:tc>
        <w:tc>
          <w:tcPr/>
          <w:p>
            <w:pPr>
              <w:pStyle w:val="Compact"/>
            </w:pPr>
            <w:r>
              <w:t xml:space="preserve">Sn 92.3% (vs primary 92.2%), Sp 96.2% (vs 96.7%), AUC 0.973 (vs 0.974) — Δ ≤0.5%</w:t>
            </w:r>
          </w:p>
        </w:tc>
      </w:tr>
      <w:tr>
        <w:tc>
          <w:tcPr/>
          <w:p>
            <w:pPr>
              <w:pStyle w:val="Compact"/>
            </w:pPr>
            <w:r>
              <w:t xml:space="preserve">3</w:t>
            </w:r>
          </w:p>
        </w:tc>
        <w:tc>
          <w:tcPr/>
          <w:p>
            <w:pPr>
              <w:pStyle w:val="Compact"/>
            </w:pPr>
            <w:r>
              <w:t xml:space="preserve">Subgroup framing</w:t>
            </w:r>
          </w:p>
        </w:tc>
        <w:tc>
          <w:tcPr/>
          <w:p>
            <w:pPr>
              <w:pStyle w:val="Compact"/>
            </w:pPr>
            <w:r>
              <w:t xml:space="preserve">No inferential subgroup performed</w:t>
            </w:r>
          </w:p>
        </w:tc>
        <w:tc>
          <w:tcPr/>
          <w:p>
            <w:pPr>
              <w:pStyle w:val="Compact"/>
            </w:pPr>
            <w:r>
              <w:t xml:space="preserve">N/A — descriptive only</w:t>
            </w:r>
          </w:p>
        </w:tc>
      </w:tr>
    </w:tbl>
    <w:bookmarkEnd w:id="79"/>
    <w:bookmarkStart w:id="80" w:name="prospero-version-history"/>
    <w:p>
      <w:pPr>
        <w:pStyle w:val="Heading2"/>
      </w:pPr>
      <w:r>
        <w:t xml:space="preserve">PROSPERO version history</w:t>
      </w:r>
    </w:p>
    <w:p>
      <w:pPr>
        <w:pStyle w:val="FirstParagraph"/>
      </w:pPr>
      <w:r>
        <w:t xml:space="preserve">The public version history at https://www.crd.york.ac.uk/PROSPERO/view/CRD420261370382 displays:</w:t>
      </w:r>
      <w:r>
        <w:t xml:space="preserve"> </w:t>
      </w:r>
      <w:r>
        <w:t xml:space="preserve">-</w:t>
      </w:r>
      <w:r>
        <w:t xml:space="preserve"> </w:t>
      </w:r>
      <w:r>
        <w:rPr>
          <w:b/>
          <w:bCs/>
        </w:rPr>
        <w:t xml:space="preserve">Version 1.0</w:t>
      </w:r>
      <w:r>
        <w:t xml:space="preserve">, published 15 April 2026</w:t>
      </w:r>
      <w:r>
        <w:t xml:space="preserve"> </w:t>
      </w:r>
      <w:r>
        <w:t xml:space="preserve">-</w:t>
      </w:r>
      <w:r>
        <w:t xml:space="preserve"> </w:t>
      </w:r>
      <w:r>
        <w:rPr>
          <w:b/>
          <w:bCs/>
        </w:rPr>
        <w:t xml:space="preserve">Version 1.1</w:t>
      </w:r>
      <w:r>
        <w:t xml:space="preserve">, published 21 April 2026</w:t>
      </w:r>
      <w:r>
        <w:t xml:space="preserve"> </w:t>
      </w:r>
      <w:r>
        <w:t xml:space="preserve">-</w:t>
      </w:r>
      <w:r>
        <w:t xml:space="preserve"> </w:t>
      </w:r>
      <w:r>
        <w:rPr>
          <w:b/>
          <w:bCs/>
        </w:rPr>
        <w:t xml:space="preserve">Version 1.2</w:t>
      </w:r>
      <w:r>
        <w:t xml:space="preserve">, published 11 May 2026, 10:53 UTC (the three methodological amendments described above)</w:t>
      </w:r>
      <w:r>
        <w:t xml:space="preserve"> </w:t>
      </w:r>
      <w:r>
        <w:t xml:space="preserve">-</w:t>
      </w:r>
      <w:r>
        <w:t xml:space="preserve"> </w:t>
      </w:r>
      <w:r>
        <w:rPr>
          <w:b/>
          <w:bCs/>
        </w:rPr>
        <w:t xml:space="preserve">Version 1.3</w:t>
      </w:r>
      <w:r>
        <w:t xml:space="preserve">, published 16 May 2026: a documentation-only erratum correcting the Yan et al. (2017) study count in the Background and Searching-and-Screening narratives; methodology, eligibility criteria, and the synthesis set are unchanged from v1.2. Full text of the v1.3 addendum is appended at the end of this supplementary material.</w:t>
      </w:r>
    </w:p>
    <w:p>
      <w:pPr>
        <w:pStyle w:val="BodyText"/>
      </w:pPr>
      <w:r>
        <w:t xml:space="preserve">PROSPERO public record history (verbatim from the public record page, current through v1.2):</w:t>
      </w:r>
      <w:r>
        <w:t xml:space="preserve"> </w:t>
      </w:r>
      <w:r>
        <w:t xml:space="preserve">&gt; 11 May 2026 10:53 UTC — version 1.2 published</w:t>
      </w:r>
      <w:r>
        <w:t xml:space="preserve"> </w:t>
      </w:r>
      <w:r>
        <w:t xml:space="preserve">&gt; 21 Apr 2026 16:04 UTC — version 1.1 published</w:t>
      </w:r>
      <w:r>
        <w:t xml:space="preserve"> </w:t>
      </w:r>
      <w:r>
        <w:t xml:space="preserve">&gt; 15 Apr 2026 17:49 UTC — version 1.0 published</w:t>
      </w:r>
    </w:p>
    <w:p>
      <w:pPr>
        <w:pStyle w:val="BodyText"/>
      </w:pPr>
      <w:r>
        <w:t xml:space="preserve">Manuscript Methods and response-letter passages that discuss the three methodological amendments use</w:t>
      </w:r>
      <w:r>
        <w:t xml:space="preserve"> </w:t>
      </w:r>
      <w:r>
        <w:rPr>
          <w:b/>
          <w:bCs/>
        </w:rPr>
        <w:t xml:space="preserve">“PROSPERO Version 1.2 (published 11 May 2026)”</w:t>
      </w:r>
      <w:r>
        <w:t xml:space="preserve">, matching the methodologically anchored version in which those amendments were published. Title-page and cover-letter passages that identify the current public record also mention</w:t>
      </w:r>
      <w:r>
        <w:t xml:space="preserve"> </w:t>
      </w:r>
      <w:r>
        <w:rPr>
          <w:b/>
          <w:bCs/>
        </w:rPr>
        <w:t xml:space="preserve">Version 1.3 (published 16 May 2026)</w:t>
      </w:r>
      <w:r>
        <w:t xml:space="preserve"> </w:t>
      </w:r>
      <w:r>
        <w:t xml:space="preserve">as a documentation-only erratum. The v1.3 addendum does not change the methodological version reference.</w:t>
      </w:r>
    </w:p>
    <w:bookmarkEnd w:id="80"/>
    <w:bookmarkStart w:id="81" w:name="verified-prospero-id"/>
    <w:p>
      <w:pPr>
        <w:pStyle w:val="Heading2"/>
      </w:pPr>
      <w:r>
        <w:t xml:space="preserve">Verified PROSPERO ID</w:t>
      </w:r>
    </w:p>
    <w:p>
      <w:pPr>
        <w:pStyle w:val="FirstParagraph"/>
      </w:pPr>
      <w:r>
        <w:t xml:space="preserve">The registered identifier displayed on the PROSPERO public record is</w:t>
      </w:r>
      <w:r>
        <w:t xml:space="preserve"> </w:t>
      </w:r>
      <w:r>
        <w:rPr>
          <w:b/>
          <w:bCs/>
        </w:rPr>
        <w:t xml:space="preserve">CRD420261370382</w:t>
      </w:r>
      <w:r>
        <w:t xml:space="preserve"> </w:t>
      </w:r>
      <w:r>
        <w:t xml:space="preserve">(CRD prefix + 12-digit numeric suffix). This is the standard PROSPERO format used in 2026 and matches the citation displayed at the top of the public record:</w:t>
      </w:r>
    </w:p>
    <w:p>
      <w:pPr>
        <w:pStyle w:val="BlockText"/>
      </w:pPr>
      <w:r>
        <w:rPr>
          <w:i/>
          <w:iCs/>
        </w:rPr>
        <w:t xml:space="preserve">Diagnostic Accuracy and Safety of Cone-Beam CT-Guided Percutaneous Transthoracic Lung Biopsy: An Updated Systematic Review and Meta-Analysis. PROSPERO 2026 CRD420261370382.</w:t>
      </w:r>
    </w:p>
    <w:p>
      <w:pPr>
        <w:pStyle w:val="FirstParagraph"/>
      </w:pPr>
      <w:r>
        <w:rPr>
          <w:b/>
          <w:bCs/>
        </w:rPr>
        <w:t xml:space="preserve">External verification artifact.</w:t>
      </w:r>
      <w:r>
        <w:t xml:space="preserve"> </w:t>
      </w:r>
      <w:r>
        <w:t xml:space="preserve">A PDF copy of the full PROSPERO public-record page (Version 1.3, 7 pages), retrieved from</w:t>
      </w:r>
      <w:r>
        <w:t xml:space="preserve"> </w:t>
      </w:r>
      <w:r>
        <w:rPr>
          <w:rStyle w:val="VerbatimChar"/>
        </w:rPr>
        <w:t xml:space="preserve">https://www.crd.york.ac.uk/PROSPERO/view/CRD420261370382</w:t>
      </w:r>
      <w:r>
        <w:t xml:space="preserve"> </w:t>
      </w:r>
      <w:r>
        <w:t xml:space="preserve">on 2026-05-16, is attached to this submission as</w:t>
      </w:r>
      <w:r>
        <w:t xml:space="preserve"> </w:t>
      </w:r>
      <w:r>
        <w:rPr>
          <w:rStyle w:val="VerbatimChar"/>
        </w:rPr>
        <w:t xml:space="preserve">MA1_PROSPERO_v1.3_record.pdf</w:t>
      </w:r>
      <w:r>
        <w:t xml:space="preserve">. The document displays the NIHR/PROSPERO branding, the citation block (with the CRD420261370382 identifier), and the full registered protocol; it is provided as static external evidence so the identifier format, registration content, and the v1.3 Yan-2017 study-count erratum can be verified without leaving the submission package. The PROSPERO public-record portal renders only the most recent amendment’s text in the</w:t>
      </w:r>
      <w:r>
        <w:t xml:space="preserve"> </w:t>
      </w:r>
      <w:r>
        <w:t xml:space="preserve">“Revision note”</w:t>
      </w:r>
      <w:r>
        <w:t xml:space="preserve"> </w:t>
      </w:r>
      <w:r>
        <w:t xml:space="preserve">section of each version’s PDF; the v1.3 PDF therefore displays the (4) Erratum entry, and the prior v1.2 amendments (entries 1–3 for the Cochrane CENTRAL confirmatory search, post-hoc ITD-only sensitivity analysis, and subgroup-framing clarification) are accessible via the clickable</w:t>
      </w:r>
      <w:r>
        <w:t xml:space="preserve"> </w:t>
      </w:r>
      <w:r>
        <w:t xml:space="preserve">“Version 1.2, published 11 May 2026”</w:t>
      </w:r>
      <w:r>
        <w:t xml:space="preserve"> </w:t>
      </w:r>
      <w:r>
        <w:t xml:space="preserve">link in the PROSPERO Version History block at the end of the PDF. The verbatim text of the v1.2 (1)(2)(3) amendments is also reproduced earlier in this supplementary material under</w:t>
      </w:r>
      <w:r>
        <w:t xml:space="preserve"> </w:t>
      </w:r>
      <w:r>
        <w:t xml:space="preserve">“PROSPERO portal revision-note text (verbatim, as submitted 11 May 2026)”</w:t>
      </w:r>
      <w:r>
        <w:t xml:space="preserve">.</w:t>
      </w:r>
    </w:p>
    <w:p>
      <w:r>
        <w:pict>
          <v:rect style="width:0;height:1.5pt" o:hralign="center" o:hrstd="t" o:hr="t"/>
        </w:pict>
      </w:r>
    </w:p>
    <w:bookmarkEnd w:id="81"/>
    <w:bookmarkStart w:id="85" w:name="Xbd8b701ca4dcb1d6376c9954b78efa15d05ae67"/>
    <w:p>
      <w:pPr>
        <w:pStyle w:val="Heading2"/>
      </w:pPr>
      <w:r>
        <w:t xml:space="preserve">PROSPERO Version 1.3 Addendum — Yan 2017 study-count erratum</w:t>
      </w:r>
    </w:p>
    <w:p>
      <w:pPr>
        <w:pStyle w:val="FirstParagraph"/>
      </w:pPr>
      <w:r>
        <w:t xml:space="preserve">During pre-submission consistency review, a discrepancy was identified between the PROSPERO registration narrative and the present manuscript regarding the study count of the prior meta-analysis by Yan et al. (2017):</w:t>
      </w:r>
    </w:p>
    <w:p>
      <w:pPr>
        <w:pStyle w:val="Compact"/>
        <w:numPr>
          <w:ilvl w:val="0"/>
          <w:numId w:val="1011"/>
        </w:numPr>
      </w:pPr>
      <w:r>
        <w:rPr>
          <w:b/>
          <w:bCs/>
        </w:rPr>
        <w:t xml:space="preserve">PROSPERO v1.0–v1.2 narrative</w:t>
      </w:r>
      <w:r>
        <w:t xml:space="preserve"> </w:t>
      </w:r>
      <w:r>
        <w:t xml:space="preserve">(Background under Rationale; Searching-and-Screening under Other relevant information) describes the prior meta-analysis as having</w:t>
      </w:r>
      <w:r>
        <w:t xml:space="preserve"> </w:t>
      </w:r>
      <w:r>
        <w:t xml:space="preserve">“synthesized data from 16 studies”</w:t>
      </w:r>
      <w:r>
        <w:t xml:space="preserve"> </w:t>
      </w:r>
      <w:r>
        <w:t xml:space="preserve">and</w:t>
      </w:r>
      <w:r>
        <w:t xml:space="preserve"> </w:t>
      </w:r>
      <w:r>
        <w:t xml:space="preserve">“included 16 studies.”</w:t>
      </w:r>
      <w:r>
        <w:t xml:space="preserve"> </w:t>
      </w:r>
      <w:r>
        <w:t xml:space="preserve">This figure was carried unchanged through Versions 1.1 and 1.2.</w:t>
      </w:r>
    </w:p>
    <w:p>
      <w:pPr>
        <w:pStyle w:val="Compact"/>
        <w:numPr>
          <w:ilvl w:val="0"/>
          <w:numId w:val="1011"/>
        </w:numPr>
      </w:pPr>
      <w:r>
        <w:rPr>
          <w:b/>
          <w:bCs/>
        </w:rPr>
        <w:t xml:space="preserve">Primary source (Yan GW, Bhetuwal A, Yan GW [Gao-Wen], et al. A Systematic Review and Meta-Analysis of C-Arm Cone-Beam CT-Guided Percutaneous Transthoracic Needle Biopsy of Lung Nodules.</w:t>
      </w:r>
      <w:r>
        <w:rPr>
          <w:b/>
          <w:bCs/>
        </w:rPr>
        <w:t xml:space="preserve"> </w:t>
      </w:r>
      <w:r>
        <w:rPr>
          <w:b/>
          <w:bCs/>
          <w:i/>
          <w:iCs/>
        </w:rPr>
        <w:t xml:space="preserve">Pol J Radiol</w:t>
      </w:r>
      <w:r>
        <w:rPr>
          <w:b/>
          <w:bCs/>
        </w:rPr>
        <w:t xml:space="preserve"> </w:t>
      </w:r>
      <w:r>
        <w:rPr>
          <w:b/>
          <w:bCs/>
        </w:rPr>
        <w:t xml:space="preserve">2017;82:152–160; PMID 28392852; PMC5370428)</w:t>
      </w:r>
      <w:r>
        <w:t xml:space="preserve"> </w:t>
      </w:r>
      <w:r>
        <w:t xml:space="preserve">states that 8 studies were included (</w:t>
      </w:r>
      <w:r>
        <w:t xml:space="preserve">“Eight studies met the inclusion and exclusion criteria for the meta-analysis”</w:t>
      </w:r>
      <w:r>
        <w:t xml:space="preserve">; Results section, paragraph 1), with 8 entries in the Table-of-included-studies (refs 14–21 of the source paper) and a 7-retrospective-plus-1-prospective design split.</w:t>
      </w:r>
    </w:p>
    <w:p>
      <w:pPr>
        <w:pStyle w:val="Compact"/>
        <w:numPr>
          <w:ilvl w:val="0"/>
          <w:numId w:val="1011"/>
        </w:numPr>
      </w:pPr>
      <w:r>
        <w:t xml:space="preserve">The present manuscript, included-studies table (Table 1), the Discussion (</w:t>
      </w:r>
      <w:r>
        <w:t xml:space="preserve">“All 8 studies from Yan et al. (1) were captured in the present review, confirming complete overlap with the prior evidence base”</w:t>
      </w:r>
      <w:r>
        <w:t xml:space="preserve">), and all downstream analyses have followed the verified 8-study count throughout.</w:t>
      </w:r>
      <w:r>
        <w:t xml:space="preserve"> </w:t>
      </w:r>
      <w:r>
        <w:rPr>
          <w:b/>
          <w:bCs/>
        </w:rPr>
        <w:t xml:space="preserve">No manuscript revision is required</w:t>
      </w:r>
      <w:r>
        <w:t xml:space="preserve"> </w:t>
      </w:r>
      <w:r>
        <w:t xml:space="preserve">because the manuscript already reports the correct count.</w:t>
      </w:r>
    </w:p>
    <w:p>
      <w:pPr>
        <w:pStyle w:val="FirstParagraph"/>
      </w:pPr>
      <w:r>
        <w:t xml:space="preserve">To correct the registration narrative without disturbing the historical v1.0 text (preserving the registration audit trail), a single Revision-Note addendum is appended to the v1.2 entries as item (4) under Version 1.3. The text below is the verbatim addendum submitted to the PROSPERO portal.</w:t>
      </w:r>
    </w:p>
    <w:bookmarkStart w:id="82" w:name="X1313febe0e96a6c97314b499ea74c45eff59471"/>
    <w:p>
      <w:pPr>
        <w:pStyle w:val="Heading3"/>
      </w:pPr>
      <w:r>
        <w:t xml:space="preserve">PROSPERO portal Revision-Note addendum (4), submitted 2026-05-16</w:t>
      </w:r>
    </w:p>
    <w:p>
      <w:pPr>
        <w:pStyle w:val="BlockText"/>
      </w:pPr>
      <w:r>
        <w:rPr>
          <w:b/>
          <w:bCs/>
        </w:rPr>
        <w:t xml:space="preserve">4. Erratum — Yan et al. (2017) study count corrected from 16 to 8 (decision 16 May 2026).</w:t>
      </w:r>
      <w:r>
        <w:t xml:space="preserve"> </w:t>
      </w:r>
      <w:r>
        <w:t xml:space="preserve">The Background section under Rationale and the Searching-and-Screening section under Other relevant information both describe the prior meta-analysis by Yan et al. (2017) as including 16 studies. Primary-source cross-check against the published paper (Yan GW, Bhetuwal A, Yan GW [Gao-Wen], et al. A Systematic Review and Meta-Analysis of C-Arm Cone-Beam CT-Guided Percutaneous Transthoracic Needle Biopsy of Lung Nodules.</w:t>
      </w:r>
      <w:r>
        <w:t xml:space="preserve"> </w:t>
      </w:r>
      <w:r>
        <w:rPr>
          <w:i/>
          <w:iCs/>
        </w:rPr>
        <w:t xml:space="preserve">Pol J Radiol</w:t>
      </w:r>
      <w:r>
        <w:t xml:space="preserve"> </w:t>
      </w:r>
      <w:r>
        <w:t xml:space="preserve">2017;82:152–160; PMID 28392852; PMC5370428) confirms that Yan et al. actually included 8 studies (</w:t>
      </w:r>
      <w:r>
        <w:t xml:space="preserve">“Eight studies met the inclusion and exclusion criteria for the meta-analysis”</w:t>
      </w:r>
      <w:r>
        <w:t xml:space="preserve">; Results section, paragraph 1). The present review’s manuscript, included-studies table, and all downstream analyses have followed the verified 8-study count throughout. This addendum corrects the registration narrative to match the primary source; no manuscript revisions are required as the manuscript already reports the correct count. Methodology, eligibility criteria, and the synthesis set (k = 22 bivariate / k = 24 qualitative) are unchanged from Version 1.2.</w:t>
      </w:r>
    </w:p>
    <w:bookmarkEnd w:id="82"/>
    <w:bookmarkStart w:id="83" w:name="X58633e899ca07515e22667c603737a302dc9ac8"/>
    <w:p>
      <w:pPr>
        <w:pStyle w:val="Heading3"/>
      </w:pPr>
      <w:r>
        <w:t xml:space="preserve">Internal decision date and rationale (Version 1.3)</w:t>
      </w:r>
    </w:p>
    <w:tbl>
      <w:tblPr>
        <w:tblStyle w:val="Table"/>
        <w:tblW w:type="pct" w:w="5000"/>
        <w:tblLayout w:type="fixed"/>
        <w:tblLook w:firstRow="1" w:lastRow="0" w:firstColumn="0" w:lastColumn="0" w:noHBand="0" w:noVBand="0" w:val="0020"/>
      </w:tblPr>
      <w:tblGrid>
        <w:gridCol w:w="377"/>
        <w:gridCol w:w="1005"/>
        <w:gridCol w:w="3017"/>
        <w:gridCol w:w="1382"/>
        <w:gridCol w:w="2137"/>
      </w:tblGrid>
      <w:tr>
        <w:trPr>
          <w:tblHeader w:val="on"/>
        </w:trPr>
        <w:tc>
          <w:tcPr/>
          <w:p>
            <w:pPr>
              <w:pStyle w:val="Compact"/>
            </w:pPr>
            <w:r>
              <w:t xml:space="preserve">#</w:t>
            </w:r>
          </w:p>
        </w:tc>
        <w:tc>
          <w:tcPr/>
          <w:p>
            <w:pPr>
              <w:pStyle w:val="Compact"/>
            </w:pPr>
            <w:r>
              <w:t xml:space="preserve">Change</w:t>
            </w:r>
          </w:p>
        </w:tc>
        <w:tc>
          <w:tcPr/>
          <w:p>
            <w:pPr>
              <w:pStyle w:val="Compact"/>
            </w:pPr>
            <w:r>
              <w:t xml:space="preserve">Internal decision date</w:t>
            </w:r>
          </w:p>
        </w:tc>
        <w:tc>
          <w:tcPr/>
          <w:p>
            <w:pPr>
              <w:pStyle w:val="Compact"/>
            </w:pPr>
            <w:r>
              <w:t xml:space="preserve">Rationale</w:t>
            </w:r>
          </w:p>
        </w:tc>
        <w:tc>
          <w:tcPr/>
          <w:p>
            <w:pPr>
              <w:pStyle w:val="Compact"/>
            </w:pPr>
            <w:r>
              <w:t xml:space="preserve">Source artifact</w:t>
            </w:r>
          </w:p>
        </w:tc>
      </w:tr>
      <w:tr>
        <w:tc>
          <w:tcPr/>
          <w:p>
            <w:pPr>
              <w:pStyle w:val="Compact"/>
            </w:pPr>
            <w:r>
              <w:t xml:space="preserve">4</w:t>
            </w:r>
          </w:p>
        </w:tc>
        <w:tc>
          <w:tcPr/>
          <w:p>
            <w:pPr>
              <w:pStyle w:val="Compact"/>
            </w:pPr>
            <w:r>
              <w:t xml:space="preserve">Yan 2017 study-count narrative correction (16 → 8) via single appended addendum</w:t>
            </w:r>
          </w:p>
        </w:tc>
        <w:tc>
          <w:tcPr/>
          <w:p>
            <w:pPr>
              <w:pStyle w:val="Compact"/>
            </w:pPr>
            <w:r>
              <w:t xml:space="preserve">2026-05-16</w:t>
            </w:r>
          </w:p>
        </w:tc>
        <w:tc>
          <w:tcPr/>
          <w:p>
            <w:pPr>
              <w:pStyle w:val="Compact"/>
            </w:pPr>
            <w:r>
              <w:t xml:space="preserve">Pre-submission consistency check identified the discrepancy. Primary-source verification (Yan 2017 PMC5370428 Results section + reference list refs 14–21) confirmed 8 studies. Correction is applied as a single appended addendum to the Revision Note rather than by editing the original Background and Searching-and-Screening narrative blocks, in order to preserve the historical v1.0 narrative for audit trail.</w:t>
            </w:r>
          </w:p>
        </w:tc>
        <w:tc>
          <w:tcPr/>
          <w:p>
            <w:pPr>
              <w:pStyle w:val="Compact"/>
            </w:pPr>
            <w:r>
              <w:t xml:space="preserve">Yan 2017 PMC5370428 full text</w:t>
            </w:r>
          </w:p>
        </w:tc>
      </w:tr>
    </w:tbl>
    <w:bookmarkEnd w:id="83"/>
    <w:bookmarkStart w:id="84" w:name="impact-on-synthesis-version-1.3"/>
    <w:p>
      <w:pPr>
        <w:pStyle w:val="Heading3"/>
      </w:pPr>
      <w:r>
        <w:t xml:space="preserve">Impact on synthesis (Version 1.3)</w:t>
      </w:r>
    </w:p>
    <w:tbl>
      <w:tblPr>
        <w:tblStyle w:val="Table"/>
        <w:tblW w:type="pct" w:w="5000"/>
        <w:tblLayout w:type="fixed"/>
        <w:tblLook w:firstRow="1" w:lastRow="0" w:firstColumn="0" w:lastColumn="0" w:noHBand="0" w:noVBand="0" w:val="0020"/>
      </w:tblPr>
      <w:tblGrid>
        <w:gridCol w:w="371"/>
        <w:gridCol w:w="990"/>
        <w:gridCol w:w="3093"/>
        <w:gridCol w:w="3465"/>
      </w:tblGrid>
      <w:tr>
        <w:trPr>
          <w:tblHeader w:val="on"/>
        </w:trPr>
        <w:tc>
          <w:tcPr/>
          <w:p>
            <w:pPr>
              <w:pStyle w:val="Compact"/>
            </w:pPr>
            <w:r>
              <w:t xml:space="preserve">#</w:t>
            </w:r>
          </w:p>
        </w:tc>
        <w:tc>
          <w:tcPr/>
          <w:p>
            <w:pPr>
              <w:pStyle w:val="Compact"/>
            </w:pPr>
            <w:r>
              <w:t xml:space="preserve">Change</w:t>
            </w:r>
          </w:p>
        </w:tc>
        <w:tc>
          <w:tcPr/>
          <w:p>
            <w:pPr>
              <w:pStyle w:val="Compact"/>
            </w:pPr>
            <w:r>
              <w:t xml:space="preserve">Effect on synthesis set</w:t>
            </w:r>
          </w:p>
        </w:tc>
        <w:tc>
          <w:tcPr/>
          <w:p>
            <w:pPr>
              <w:pStyle w:val="Compact"/>
            </w:pPr>
            <w:r>
              <w:t xml:space="preserve">Effect on pooled estimates</w:t>
            </w:r>
          </w:p>
        </w:tc>
      </w:tr>
      <w:tr>
        <w:tc>
          <w:tcPr/>
          <w:p>
            <w:pPr>
              <w:pStyle w:val="Compact"/>
            </w:pPr>
            <w:r>
              <w:t xml:space="preserve">4</w:t>
            </w:r>
          </w:p>
        </w:tc>
        <w:tc>
          <w:tcPr/>
          <w:p>
            <w:pPr>
              <w:pStyle w:val="Compact"/>
            </w:pPr>
            <w:r>
              <w:t xml:space="preserve">Yan 2017 study-count narrative correction</w:t>
            </w:r>
          </w:p>
        </w:tc>
        <w:tc>
          <w:tcPr/>
          <w:p>
            <w:pPr>
              <w:pStyle w:val="Compact"/>
            </w:pPr>
            <w:r>
              <w:t xml:space="preserve">None — manuscript already used the correct 8-study count throughout</w:t>
            </w:r>
          </w:p>
        </w:tc>
        <w:tc>
          <w:tcPr/>
          <w:p>
            <w:pPr>
              <w:pStyle w:val="Compact"/>
            </w:pPr>
            <w:r>
              <w:t xml:space="preserve">None</w:t>
            </w:r>
          </w:p>
        </w:tc>
      </w:tr>
    </w:tbl>
    <w:bookmarkEnd w:id="84"/>
    <w:bookmarkEnd w:id="85"/>
    <w:bookmarkEnd w:id="86"/>
    <w:bookmarkStart w:id="96" w:name="X60b55ee4a2ddcf333e4d29270821d8789a77426"/>
    <w:p>
      <w:pPr>
        <w:pStyle w:val="Heading1"/>
      </w:pPr>
      <w:r>
        <w:t xml:space="preserve">Supplementary Material 7. Per-study diagnostic accuracy with 95% Clopper–Pearson confidence intervals</w:t>
      </w:r>
    </w:p>
    <w:p>
      <w:pPr>
        <w:pStyle w:val="FirstParagraph"/>
      </w:pPr>
      <w:r>
        <w:t xml:space="preserve">Per-study 95% confidence intervals were computed from the extracted two-by-two data using the exact Clopper–Pearson method. No continuity correction was applied at the per-study confidence-interval level; the 0.5 continuity correction reported in the Methods applies only to the logit transformation within the bivariate Reitsma model.</w:t>
      </w:r>
    </w:p>
    <w:tbl>
      <w:tblPr>
        <w:tblStyle w:val="Table"/>
        <w:tblW w:type="pct" w:w="5000"/>
        <w:tblLayout w:type="fixed"/>
        <w:tblLook w:firstRow="1" w:lastRow="0" w:firstColumn="0" w:lastColumn="0" w:noHBand="0" w:noVBand="0" w:val="0020"/>
      </w:tblPr>
      <w:tblGrid>
        <w:gridCol w:w="696"/>
        <w:gridCol w:w="522"/>
        <w:gridCol w:w="783"/>
        <w:gridCol w:w="348"/>
        <w:gridCol w:w="348"/>
        <w:gridCol w:w="348"/>
        <w:gridCol w:w="348"/>
        <w:gridCol w:w="348"/>
        <w:gridCol w:w="2088"/>
        <w:gridCol w:w="2088"/>
      </w:tblGrid>
      <w:tr>
        <w:trPr>
          <w:tblHeader w:val="on"/>
        </w:trPr>
        <w:tc>
          <w:tcPr/>
          <w:p>
            <w:pPr>
              <w:pStyle w:val="Compact"/>
            </w:pPr>
            <w:r>
              <w:t xml:space="preserve">Author</w:t>
            </w:r>
          </w:p>
        </w:tc>
        <w:tc>
          <w:tcPr/>
          <w:p>
            <w:pPr>
              <w:pStyle w:val="Compact"/>
            </w:pPr>
            <w:r>
              <w:t xml:space="preserve">Year</w:t>
            </w:r>
          </w:p>
        </w:tc>
        <w:tc>
          <w:tcPr/>
          <w:p>
            <w:pPr>
              <w:pStyle w:val="Compact"/>
            </w:pPr>
            <w:r>
              <w:t xml:space="preserve">Country</w:t>
            </w:r>
          </w:p>
        </w:tc>
        <w:tc>
          <w:tcPr/>
          <w:p>
            <w:pPr>
              <w:pStyle w:val="Compact"/>
            </w:pPr>
            <w:r>
              <w:t xml:space="preserve">N</w:t>
            </w:r>
          </w:p>
        </w:tc>
        <w:tc>
          <w:tcPr/>
          <w:p>
            <w:pPr>
              <w:pStyle w:val="Compact"/>
            </w:pPr>
            <w:r>
              <w:t xml:space="preserve">TP</w:t>
            </w:r>
          </w:p>
        </w:tc>
        <w:tc>
          <w:tcPr/>
          <w:p>
            <w:pPr>
              <w:pStyle w:val="Compact"/>
            </w:pPr>
            <w:r>
              <w:t xml:space="preserve">FP</w:t>
            </w:r>
          </w:p>
        </w:tc>
        <w:tc>
          <w:tcPr/>
          <w:p>
            <w:pPr>
              <w:pStyle w:val="Compact"/>
            </w:pPr>
            <w:r>
              <w:t xml:space="preserve">FN</w:t>
            </w:r>
          </w:p>
        </w:tc>
        <w:tc>
          <w:tcPr/>
          <w:p>
            <w:pPr>
              <w:pStyle w:val="Compact"/>
            </w:pPr>
            <w:r>
              <w:t xml:space="preserve">TN</w:t>
            </w:r>
          </w:p>
        </w:tc>
        <w:tc>
          <w:tcPr/>
          <w:p>
            <w:pPr>
              <w:pStyle w:val="Compact"/>
            </w:pPr>
            <w:r>
              <w:t xml:space="preserve">Sensitivity % (95% CI)</w:t>
            </w:r>
          </w:p>
        </w:tc>
        <w:tc>
          <w:tcPr/>
          <w:p>
            <w:pPr>
              <w:pStyle w:val="Compact"/>
            </w:pPr>
            <w:r>
              <w:t xml:space="preserve">Specificity % (95% CI)</w:t>
            </w:r>
          </w:p>
        </w:tc>
      </w:tr>
      <w:tr>
        <w:tc>
          <w:tcPr/>
          <w:p>
            <w:pPr>
              <w:pStyle w:val="Compact"/>
            </w:pPr>
            <w:r>
              <w:t xml:space="preserve">Hwang</w:t>
            </w:r>
          </w:p>
        </w:tc>
        <w:tc>
          <w:tcPr/>
          <w:p>
            <w:pPr>
              <w:pStyle w:val="Compact"/>
            </w:pPr>
            <w:r>
              <w:t xml:space="preserve">2010</w:t>
            </w:r>
          </w:p>
        </w:tc>
        <w:tc>
          <w:tcPr/>
          <w:p>
            <w:pPr>
              <w:pStyle w:val="Compact"/>
            </w:pPr>
            <w:r>
              <w:t xml:space="preserve">Korea</w:t>
            </w:r>
          </w:p>
        </w:tc>
        <w:tc>
          <w:tcPr/>
          <w:p>
            <w:pPr>
              <w:pStyle w:val="Compact"/>
            </w:pPr>
            <w:r>
              <w:t xml:space="preserve">26</w:t>
            </w:r>
          </w:p>
        </w:tc>
        <w:tc>
          <w:tcPr/>
          <w:p>
            <w:pPr>
              <w:pStyle w:val="Compact"/>
            </w:pPr>
            <w:r>
              <w:t xml:space="preserve">16</w:t>
            </w:r>
          </w:p>
        </w:tc>
        <w:tc>
          <w:tcPr/>
          <w:p>
            <w:pPr>
              <w:pStyle w:val="Compact"/>
            </w:pPr>
            <w:r>
              <w:t xml:space="preserve">1</w:t>
            </w:r>
          </w:p>
        </w:tc>
        <w:tc>
          <w:tcPr/>
          <w:p>
            <w:pPr>
              <w:pStyle w:val="Compact"/>
            </w:pPr>
            <w:r>
              <w:t xml:space="preserve">1</w:t>
            </w:r>
          </w:p>
        </w:tc>
        <w:tc>
          <w:tcPr/>
          <w:p>
            <w:pPr>
              <w:pStyle w:val="Compact"/>
            </w:pPr>
            <w:r>
              <w:t xml:space="preserve">8</w:t>
            </w:r>
          </w:p>
        </w:tc>
        <w:tc>
          <w:tcPr/>
          <w:p>
            <w:pPr>
              <w:pStyle w:val="Compact"/>
            </w:pPr>
            <w:r>
              <w:t xml:space="preserve">94.1 (71.3–99.9)</w:t>
            </w:r>
          </w:p>
        </w:tc>
        <w:tc>
          <w:tcPr/>
          <w:p>
            <w:pPr>
              <w:pStyle w:val="Compact"/>
            </w:pPr>
            <w:r>
              <w:t xml:space="preserve">88.9 (51.8–99.7)</w:t>
            </w:r>
          </w:p>
        </w:tc>
      </w:tr>
      <w:tr>
        <w:tc>
          <w:tcPr/>
          <w:p>
            <w:pPr>
              <w:pStyle w:val="Compact"/>
            </w:pPr>
            <w:r>
              <w:t xml:space="preserve">Cheung</w:t>
            </w:r>
          </w:p>
        </w:tc>
        <w:tc>
          <w:tcPr/>
          <w:p>
            <w:pPr>
              <w:pStyle w:val="Compact"/>
            </w:pPr>
            <w:r>
              <w:t xml:space="preserve">2011</w:t>
            </w:r>
          </w:p>
        </w:tc>
        <w:tc>
          <w:tcPr/>
          <w:p>
            <w:pPr>
              <w:pStyle w:val="Compact"/>
            </w:pPr>
            <w:r>
              <w:t xml:space="preserve">Korea</w:t>
            </w:r>
          </w:p>
        </w:tc>
        <w:tc>
          <w:tcPr/>
          <w:p>
            <w:pPr>
              <w:pStyle w:val="Compact"/>
            </w:pPr>
            <w:r>
              <w:t xml:space="preserve">74</w:t>
            </w:r>
          </w:p>
        </w:tc>
        <w:tc>
          <w:tcPr/>
          <w:p>
            <w:pPr>
              <w:pStyle w:val="Compact"/>
            </w:pPr>
            <w:r>
              <w:t xml:space="preserve">48</w:t>
            </w:r>
          </w:p>
        </w:tc>
        <w:tc>
          <w:tcPr/>
          <w:p>
            <w:pPr>
              <w:pStyle w:val="Compact"/>
            </w:pPr>
            <w:r>
              <w:t xml:space="preserve">0</w:t>
            </w:r>
          </w:p>
        </w:tc>
        <w:tc>
          <w:tcPr/>
          <w:p>
            <w:pPr>
              <w:pStyle w:val="Compact"/>
            </w:pPr>
            <w:r>
              <w:t xml:space="preserve">5</w:t>
            </w:r>
          </w:p>
        </w:tc>
        <w:tc>
          <w:tcPr/>
          <w:p>
            <w:pPr>
              <w:pStyle w:val="Compact"/>
            </w:pPr>
            <w:r>
              <w:t xml:space="preserve">21</w:t>
            </w:r>
          </w:p>
        </w:tc>
        <w:tc>
          <w:tcPr/>
          <w:p>
            <w:pPr>
              <w:pStyle w:val="Compact"/>
            </w:pPr>
            <w:r>
              <w:t xml:space="preserve">90.6 (79.3–96.9)</w:t>
            </w:r>
          </w:p>
        </w:tc>
        <w:tc>
          <w:tcPr/>
          <w:p>
            <w:pPr>
              <w:pStyle w:val="Compact"/>
            </w:pPr>
            <w:r>
              <w:t xml:space="preserve">100.0 (83.9–100.0)</w:t>
            </w:r>
          </w:p>
        </w:tc>
      </w:tr>
      <w:tr>
        <w:tc>
          <w:tcPr/>
          <w:p>
            <w:pPr>
              <w:pStyle w:val="Compact"/>
            </w:pPr>
            <w:r>
              <w:t xml:space="preserve">Braak</w:t>
            </w:r>
          </w:p>
        </w:tc>
        <w:tc>
          <w:tcPr/>
          <w:p>
            <w:pPr>
              <w:pStyle w:val="Compact"/>
            </w:pPr>
            <w:r>
              <w:t xml:space="preserve">2012</w:t>
            </w:r>
          </w:p>
        </w:tc>
        <w:tc>
          <w:tcPr/>
          <w:p>
            <w:pPr>
              <w:pStyle w:val="Compact"/>
            </w:pPr>
            <w:r>
              <w:t xml:space="preserve">Netherlands</w:t>
            </w:r>
          </w:p>
        </w:tc>
        <w:tc>
          <w:tcPr/>
          <w:p>
            <w:pPr>
              <w:pStyle w:val="Compact"/>
            </w:pPr>
            <w:r>
              <w:t xml:space="preserve">84</w:t>
            </w:r>
          </w:p>
        </w:tc>
        <w:tc>
          <w:tcPr/>
          <w:p>
            <w:pPr>
              <w:pStyle w:val="Compact"/>
            </w:pPr>
            <w:r>
              <w:t xml:space="preserve">63</w:t>
            </w:r>
          </w:p>
        </w:tc>
        <w:tc>
          <w:tcPr/>
          <w:p>
            <w:pPr>
              <w:pStyle w:val="Compact"/>
            </w:pPr>
            <w:r>
              <w:t xml:space="preserve">0</w:t>
            </w:r>
          </w:p>
        </w:tc>
        <w:tc>
          <w:tcPr/>
          <w:p>
            <w:pPr>
              <w:pStyle w:val="Compact"/>
            </w:pPr>
            <w:r>
              <w:t xml:space="preserve">7</w:t>
            </w:r>
          </w:p>
        </w:tc>
        <w:tc>
          <w:tcPr/>
          <w:p>
            <w:pPr>
              <w:pStyle w:val="Compact"/>
            </w:pPr>
            <w:r>
              <w:t xml:space="preserve">14</w:t>
            </w:r>
          </w:p>
        </w:tc>
        <w:tc>
          <w:tcPr/>
          <w:p>
            <w:pPr>
              <w:pStyle w:val="Compact"/>
            </w:pPr>
            <w:r>
              <w:t xml:space="preserve">90.0 (80.5–95.9)</w:t>
            </w:r>
          </w:p>
        </w:tc>
        <w:tc>
          <w:tcPr/>
          <w:p>
            <w:pPr>
              <w:pStyle w:val="Compact"/>
            </w:pPr>
            <w:r>
              <w:t xml:space="preserve">100.0 (76.8–100.0)</w:t>
            </w:r>
          </w:p>
        </w:tc>
      </w:tr>
      <w:tr>
        <w:tc>
          <w:tcPr/>
          <w:p>
            <w:pPr>
              <w:pStyle w:val="Compact"/>
            </w:pPr>
            <w:r>
              <w:t xml:space="preserve">Choi_MJ</w:t>
            </w:r>
          </w:p>
        </w:tc>
        <w:tc>
          <w:tcPr/>
          <w:p>
            <w:pPr>
              <w:pStyle w:val="Compact"/>
            </w:pPr>
            <w:r>
              <w:t xml:space="preserve">2012</w:t>
            </w:r>
          </w:p>
        </w:tc>
        <w:tc>
          <w:tcPr/>
          <w:p>
            <w:pPr>
              <w:pStyle w:val="Compact"/>
            </w:pPr>
            <w:r>
              <w:t xml:space="preserve">Korea</w:t>
            </w:r>
          </w:p>
        </w:tc>
        <w:tc>
          <w:tcPr/>
          <w:p>
            <w:pPr>
              <w:pStyle w:val="Compact"/>
            </w:pPr>
            <w:r>
              <w:t xml:space="preserve">99</w:t>
            </w:r>
          </w:p>
        </w:tc>
        <w:tc>
          <w:tcPr/>
          <w:p>
            <w:pPr>
              <w:pStyle w:val="Compact"/>
            </w:pPr>
            <w:r>
              <w:t xml:space="preserve">69</w:t>
            </w:r>
          </w:p>
        </w:tc>
        <w:tc>
          <w:tcPr/>
          <w:p>
            <w:pPr>
              <w:pStyle w:val="Compact"/>
            </w:pPr>
            <w:r>
              <w:t xml:space="preserve">0</w:t>
            </w:r>
          </w:p>
        </w:tc>
        <w:tc>
          <w:tcPr/>
          <w:p>
            <w:pPr>
              <w:pStyle w:val="Compact"/>
            </w:pPr>
            <w:r>
              <w:t xml:space="preserve">3</w:t>
            </w:r>
          </w:p>
        </w:tc>
        <w:tc>
          <w:tcPr/>
          <w:p>
            <w:pPr>
              <w:pStyle w:val="Compact"/>
            </w:pPr>
            <w:r>
              <w:t xml:space="preserve">27</w:t>
            </w:r>
          </w:p>
        </w:tc>
        <w:tc>
          <w:tcPr/>
          <w:p>
            <w:pPr>
              <w:pStyle w:val="Compact"/>
            </w:pPr>
            <w:r>
              <w:t xml:space="preserve">95.8 (88.3–99.1)</w:t>
            </w:r>
          </w:p>
        </w:tc>
        <w:tc>
          <w:tcPr/>
          <w:p>
            <w:pPr>
              <w:pStyle w:val="Compact"/>
            </w:pPr>
            <w:r>
              <w:t xml:space="preserve">100.0 (87.2–100.0)</w:t>
            </w:r>
          </w:p>
        </w:tc>
      </w:tr>
      <w:tr>
        <w:tc>
          <w:tcPr/>
          <w:p>
            <w:pPr>
              <w:pStyle w:val="Compact"/>
            </w:pPr>
            <w:r>
              <w:t xml:space="preserve">Lee_WJ</w:t>
            </w:r>
          </w:p>
        </w:tc>
        <w:tc>
          <w:tcPr/>
          <w:p>
            <w:pPr>
              <w:pStyle w:val="Compact"/>
            </w:pPr>
            <w:r>
              <w:t xml:space="preserve">2012</w:t>
            </w:r>
          </w:p>
        </w:tc>
        <w:tc>
          <w:tcPr/>
          <w:p>
            <w:pPr>
              <w:pStyle w:val="Compact"/>
            </w:pPr>
            <w:r>
              <w:t xml:space="preserve">Korea</w:t>
            </w:r>
          </w:p>
        </w:tc>
        <w:tc>
          <w:tcPr/>
          <w:p>
            <w:pPr>
              <w:pStyle w:val="Compact"/>
            </w:pPr>
            <w:r>
              <w:t xml:space="preserve">94</w:t>
            </w:r>
          </w:p>
        </w:tc>
        <w:tc>
          <w:tcPr/>
          <w:p>
            <w:pPr>
              <w:pStyle w:val="Compact"/>
            </w:pPr>
            <w:r>
              <w:t xml:space="preserve">54</w:t>
            </w:r>
          </w:p>
        </w:tc>
        <w:tc>
          <w:tcPr/>
          <w:p>
            <w:pPr>
              <w:pStyle w:val="Compact"/>
            </w:pPr>
            <w:r>
              <w:t xml:space="preserve">0</w:t>
            </w:r>
          </w:p>
        </w:tc>
        <w:tc>
          <w:tcPr/>
          <w:p>
            <w:pPr>
              <w:pStyle w:val="Compact"/>
            </w:pPr>
            <w:r>
              <w:t xml:space="preserve">4</w:t>
            </w:r>
          </w:p>
        </w:tc>
        <w:tc>
          <w:tcPr/>
          <w:p>
            <w:pPr>
              <w:pStyle w:val="Compact"/>
            </w:pPr>
            <w:r>
              <w:t xml:space="preserve">36</w:t>
            </w:r>
          </w:p>
        </w:tc>
        <w:tc>
          <w:tcPr/>
          <w:p>
            <w:pPr>
              <w:pStyle w:val="Compact"/>
            </w:pPr>
            <w:r>
              <w:t xml:space="preserve">93.1 (83.3–98.1)</w:t>
            </w:r>
          </w:p>
        </w:tc>
        <w:tc>
          <w:tcPr/>
          <w:p>
            <w:pPr>
              <w:pStyle w:val="Compact"/>
            </w:pPr>
            <w:r>
              <w:t xml:space="preserve">100.0 (90.3–100.0)</w:t>
            </w:r>
          </w:p>
        </w:tc>
      </w:tr>
      <w:tr>
        <w:tc>
          <w:tcPr/>
          <w:p>
            <w:pPr>
              <w:pStyle w:val="Compact"/>
            </w:pPr>
            <w:r>
              <w:t xml:space="preserve">Floridi</w:t>
            </w:r>
          </w:p>
        </w:tc>
        <w:tc>
          <w:tcPr/>
          <w:p>
            <w:pPr>
              <w:pStyle w:val="Compact"/>
            </w:pPr>
            <w:r>
              <w:t xml:space="preserve">2014</w:t>
            </w:r>
          </w:p>
        </w:tc>
        <w:tc>
          <w:tcPr/>
          <w:p>
            <w:pPr>
              <w:pStyle w:val="Compact"/>
            </w:pPr>
            <w:r>
              <w:t xml:space="preserve">Italy</w:t>
            </w:r>
          </w:p>
        </w:tc>
        <w:tc>
          <w:tcPr/>
          <w:p>
            <w:pPr>
              <w:pStyle w:val="Compact"/>
            </w:pPr>
            <w:r>
              <w:t xml:space="preserve">95</w:t>
            </w:r>
          </w:p>
        </w:tc>
        <w:tc>
          <w:tcPr/>
          <w:p>
            <w:pPr>
              <w:pStyle w:val="Compact"/>
            </w:pPr>
            <w:r>
              <w:t xml:space="preserve">68</w:t>
            </w:r>
          </w:p>
        </w:tc>
        <w:tc>
          <w:tcPr/>
          <w:p>
            <w:pPr>
              <w:pStyle w:val="Compact"/>
            </w:pPr>
            <w:r>
              <w:t xml:space="preserve">0</w:t>
            </w:r>
          </w:p>
        </w:tc>
        <w:tc>
          <w:tcPr/>
          <w:p>
            <w:pPr>
              <w:pStyle w:val="Compact"/>
            </w:pPr>
            <w:r>
              <w:t xml:space="preserve">7</w:t>
            </w:r>
          </w:p>
        </w:tc>
        <w:tc>
          <w:tcPr/>
          <w:p>
            <w:pPr>
              <w:pStyle w:val="Compact"/>
            </w:pPr>
            <w:r>
              <w:t xml:space="preserve">20</w:t>
            </w:r>
          </w:p>
        </w:tc>
        <w:tc>
          <w:tcPr/>
          <w:p>
            <w:pPr>
              <w:pStyle w:val="Compact"/>
            </w:pPr>
            <w:r>
              <w:t xml:space="preserve">90.7 (81.7–96.2)</w:t>
            </w:r>
          </w:p>
        </w:tc>
        <w:tc>
          <w:tcPr/>
          <w:p>
            <w:pPr>
              <w:pStyle w:val="Compact"/>
            </w:pPr>
            <w:r>
              <w:t xml:space="preserve">100.0 (83.2–100.0)</w:t>
            </w:r>
          </w:p>
        </w:tc>
      </w:tr>
      <w:tr>
        <w:tc>
          <w:tcPr/>
          <w:p>
            <w:pPr>
              <w:pStyle w:val="Compact"/>
            </w:pPr>
            <w:r>
              <w:t xml:space="preserve">Lee</w:t>
            </w:r>
          </w:p>
        </w:tc>
        <w:tc>
          <w:tcPr/>
          <w:p>
            <w:pPr>
              <w:pStyle w:val="Compact"/>
            </w:pPr>
            <w:r>
              <w:t xml:space="preserve">2014</w:t>
            </w:r>
          </w:p>
        </w:tc>
        <w:tc>
          <w:tcPr/>
          <w:p>
            <w:pPr>
              <w:pStyle w:val="Compact"/>
            </w:pPr>
            <w:r>
              <w:t xml:space="preserve">Korea</w:t>
            </w:r>
          </w:p>
        </w:tc>
        <w:tc>
          <w:tcPr/>
          <w:p>
            <w:pPr>
              <w:pStyle w:val="Compact"/>
            </w:pPr>
            <w:r>
              <w:t xml:space="preserve">1,089</w:t>
            </w:r>
          </w:p>
        </w:tc>
        <w:tc>
          <w:tcPr/>
          <w:p>
            <w:pPr>
              <w:pStyle w:val="Compact"/>
            </w:pPr>
            <w:r>
              <w:t xml:space="preserve">733</w:t>
            </w:r>
          </w:p>
        </w:tc>
        <w:tc>
          <w:tcPr/>
          <w:p>
            <w:pPr>
              <w:pStyle w:val="Compact"/>
            </w:pPr>
            <w:r>
              <w:t xml:space="preserve">0</w:t>
            </w:r>
          </w:p>
        </w:tc>
        <w:tc>
          <w:tcPr/>
          <w:p>
            <w:pPr>
              <w:pStyle w:val="Compact"/>
            </w:pPr>
            <w:r>
              <w:t xml:space="preserve">33</w:t>
            </w:r>
          </w:p>
        </w:tc>
        <w:tc>
          <w:tcPr/>
          <w:p>
            <w:pPr>
              <w:pStyle w:val="Compact"/>
            </w:pPr>
            <w:r>
              <w:t xml:space="preserve">323</w:t>
            </w:r>
          </w:p>
        </w:tc>
        <w:tc>
          <w:tcPr/>
          <w:p>
            <w:pPr>
              <w:pStyle w:val="Compact"/>
            </w:pPr>
            <w:r>
              <w:t xml:space="preserve">95.7 (94.0–97.0)</w:t>
            </w:r>
          </w:p>
        </w:tc>
        <w:tc>
          <w:tcPr/>
          <w:p>
            <w:pPr>
              <w:pStyle w:val="Compact"/>
            </w:pPr>
            <w:r>
              <w:t xml:space="preserve">100.0 (98.9–100.0)</w:t>
            </w:r>
          </w:p>
        </w:tc>
      </w:tr>
      <w:tr>
        <w:tc>
          <w:tcPr/>
          <w:p>
            <w:pPr>
              <w:pStyle w:val="Compact"/>
            </w:pPr>
            <w:r>
              <w:t xml:space="preserve">Cheng</w:t>
            </w:r>
          </w:p>
        </w:tc>
        <w:tc>
          <w:tcPr/>
          <w:p>
            <w:pPr>
              <w:pStyle w:val="Compact"/>
            </w:pPr>
            <w:r>
              <w:t xml:space="preserve">2015</w:t>
            </w:r>
          </w:p>
        </w:tc>
        <w:tc>
          <w:tcPr/>
          <w:p>
            <w:pPr>
              <w:pStyle w:val="Compact"/>
            </w:pPr>
            <w:r>
              <w:t xml:space="preserve">Taiwan</w:t>
            </w:r>
          </w:p>
        </w:tc>
        <w:tc>
          <w:tcPr/>
          <w:p>
            <w:pPr>
              <w:pStyle w:val="Compact"/>
            </w:pPr>
            <w:r>
              <w:t xml:space="preserve">35</w:t>
            </w:r>
          </w:p>
        </w:tc>
        <w:tc>
          <w:tcPr/>
          <w:p>
            <w:pPr>
              <w:pStyle w:val="Compact"/>
            </w:pPr>
            <w:r>
              <w:t xml:space="preserve">32</w:t>
            </w:r>
          </w:p>
        </w:tc>
        <w:tc>
          <w:tcPr/>
          <w:p>
            <w:pPr>
              <w:pStyle w:val="Compact"/>
            </w:pPr>
            <w:r>
              <w:t xml:space="preserve">0</w:t>
            </w:r>
          </w:p>
        </w:tc>
        <w:tc>
          <w:tcPr/>
          <w:p>
            <w:pPr>
              <w:pStyle w:val="Compact"/>
            </w:pPr>
            <w:r>
              <w:t xml:space="preserve">1</w:t>
            </w:r>
          </w:p>
        </w:tc>
        <w:tc>
          <w:tcPr/>
          <w:p>
            <w:pPr>
              <w:pStyle w:val="Compact"/>
            </w:pPr>
            <w:r>
              <w:t xml:space="preserve">2</w:t>
            </w:r>
          </w:p>
        </w:tc>
        <w:tc>
          <w:tcPr/>
          <w:p>
            <w:pPr>
              <w:pStyle w:val="Compact"/>
            </w:pPr>
            <w:r>
              <w:t xml:space="preserve">97.0 (84.2–99.9)</w:t>
            </w:r>
          </w:p>
        </w:tc>
        <w:tc>
          <w:tcPr/>
          <w:p>
            <w:pPr>
              <w:pStyle w:val="Compact"/>
            </w:pPr>
            <w:r>
              <w:t xml:space="preserve">100.0 (15.8–100.0)</w:t>
            </w:r>
          </w:p>
        </w:tc>
      </w:tr>
      <w:tr>
        <w:tc>
          <w:tcPr/>
          <w:p>
            <w:pPr>
              <w:pStyle w:val="Compact"/>
            </w:pPr>
            <w:r>
              <w:t xml:space="preserve">Jiao</w:t>
            </w:r>
          </w:p>
        </w:tc>
        <w:tc>
          <w:tcPr/>
          <w:p>
            <w:pPr>
              <w:pStyle w:val="Compact"/>
            </w:pPr>
            <w:r>
              <w:t xml:space="preserve">2016</w:t>
            </w:r>
          </w:p>
        </w:tc>
        <w:tc>
          <w:tcPr/>
          <w:p>
            <w:pPr>
              <w:pStyle w:val="Compact"/>
            </w:pPr>
            <w:r>
              <w:t xml:space="preserve">China</w:t>
            </w:r>
          </w:p>
        </w:tc>
        <w:tc>
          <w:tcPr/>
          <w:p>
            <w:pPr>
              <w:pStyle w:val="Compact"/>
            </w:pPr>
            <w:r>
              <w:t xml:space="preserve">99</w:t>
            </w:r>
          </w:p>
        </w:tc>
        <w:tc>
          <w:tcPr/>
          <w:p>
            <w:pPr>
              <w:pStyle w:val="Compact"/>
            </w:pPr>
            <w:r>
              <w:t xml:space="preserve">77</w:t>
            </w:r>
          </w:p>
        </w:tc>
        <w:tc>
          <w:tcPr/>
          <w:p>
            <w:pPr>
              <w:pStyle w:val="Compact"/>
            </w:pPr>
            <w:r>
              <w:t xml:space="preserve">2</w:t>
            </w:r>
          </w:p>
        </w:tc>
        <w:tc>
          <w:tcPr/>
          <w:p>
            <w:pPr>
              <w:pStyle w:val="Compact"/>
            </w:pPr>
            <w:r>
              <w:t xml:space="preserve">1</w:t>
            </w:r>
          </w:p>
        </w:tc>
        <w:tc>
          <w:tcPr/>
          <w:p>
            <w:pPr>
              <w:pStyle w:val="Compact"/>
            </w:pPr>
            <w:r>
              <w:t xml:space="preserve">19</w:t>
            </w:r>
          </w:p>
        </w:tc>
        <w:tc>
          <w:tcPr/>
          <w:p>
            <w:pPr>
              <w:pStyle w:val="Compact"/>
            </w:pPr>
            <w:r>
              <w:t xml:space="preserve">98.7 (93.1–100.0)</w:t>
            </w:r>
          </w:p>
        </w:tc>
        <w:tc>
          <w:tcPr/>
          <w:p>
            <w:pPr>
              <w:pStyle w:val="Compact"/>
            </w:pPr>
            <w:r>
              <w:t xml:space="preserve">90.5 (69.6–98.8)</w:t>
            </w:r>
          </w:p>
        </w:tc>
      </w:tr>
      <w:tr>
        <w:tc>
          <w:tcPr/>
          <w:p>
            <w:pPr>
              <w:pStyle w:val="Compact"/>
            </w:pPr>
            <w:r>
              <w:t xml:space="preserve">Rotolo</w:t>
            </w:r>
          </w:p>
        </w:tc>
        <w:tc>
          <w:tcPr/>
          <w:p>
            <w:pPr>
              <w:pStyle w:val="Compact"/>
            </w:pPr>
            <w:r>
              <w:t xml:space="preserve">2016</w:t>
            </w:r>
          </w:p>
        </w:tc>
        <w:tc>
          <w:tcPr/>
          <w:p>
            <w:pPr>
              <w:pStyle w:val="Compact"/>
            </w:pPr>
            <w:r>
              <w:t xml:space="preserve">Italy</w:t>
            </w:r>
          </w:p>
        </w:tc>
        <w:tc>
          <w:tcPr/>
          <w:p>
            <w:pPr>
              <w:pStyle w:val="Compact"/>
            </w:pPr>
            <w:r>
              <w:t xml:space="preserve">103</w:t>
            </w:r>
          </w:p>
        </w:tc>
        <w:tc>
          <w:tcPr/>
          <w:p>
            <w:pPr>
              <w:pStyle w:val="Compact"/>
            </w:pPr>
            <w:r>
              <w:t xml:space="preserve">64</w:t>
            </w:r>
          </w:p>
        </w:tc>
        <w:tc>
          <w:tcPr/>
          <w:p>
            <w:pPr>
              <w:pStyle w:val="Compact"/>
            </w:pPr>
            <w:r>
              <w:t xml:space="preserve">0</w:t>
            </w:r>
          </w:p>
        </w:tc>
        <w:tc>
          <w:tcPr/>
          <w:p>
            <w:pPr>
              <w:pStyle w:val="Compact"/>
            </w:pPr>
            <w:r>
              <w:t xml:space="preserve">10</w:t>
            </w:r>
          </w:p>
        </w:tc>
        <w:tc>
          <w:tcPr/>
          <w:p>
            <w:pPr>
              <w:pStyle w:val="Compact"/>
            </w:pPr>
            <w:r>
              <w:t xml:space="preserve">29</w:t>
            </w:r>
          </w:p>
        </w:tc>
        <w:tc>
          <w:tcPr/>
          <w:p>
            <w:pPr>
              <w:pStyle w:val="Compact"/>
            </w:pPr>
            <w:r>
              <w:t xml:space="preserve">86.5 (76.5–93.3)</w:t>
            </w:r>
          </w:p>
        </w:tc>
        <w:tc>
          <w:tcPr/>
          <w:p>
            <w:pPr>
              <w:pStyle w:val="Compact"/>
            </w:pPr>
            <w:r>
              <w:t xml:space="preserve">100.0 (88.1–100.0)</w:t>
            </w:r>
          </w:p>
        </w:tc>
      </w:tr>
      <w:tr>
        <w:tc>
          <w:tcPr/>
          <w:p>
            <w:pPr>
              <w:pStyle w:val="Compact"/>
            </w:pPr>
            <w:r>
              <w:t xml:space="preserve">Lee_Y</w:t>
            </w:r>
          </w:p>
        </w:tc>
        <w:tc>
          <w:tcPr/>
          <w:p>
            <w:pPr>
              <w:pStyle w:val="Compact"/>
            </w:pPr>
            <w:r>
              <w:t xml:space="preserve">2018</w:t>
            </w:r>
          </w:p>
        </w:tc>
        <w:tc>
          <w:tcPr/>
          <w:p>
            <w:pPr>
              <w:pStyle w:val="Compact"/>
            </w:pPr>
            <w:r>
              <w:t xml:space="preserve">Korea</w:t>
            </w:r>
          </w:p>
        </w:tc>
        <w:tc>
          <w:tcPr/>
          <w:p>
            <w:pPr>
              <w:pStyle w:val="Compact"/>
            </w:pPr>
            <w:r>
              <w:t xml:space="preserve">268</w:t>
            </w:r>
          </w:p>
        </w:tc>
        <w:tc>
          <w:tcPr/>
          <w:p>
            <w:pPr>
              <w:pStyle w:val="Compact"/>
            </w:pPr>
            <w:r>
              <w:t xml:space="preserve">162</w:t>
            </w:r>
          </w:p>
        </w:tc>
        <w:tc>
          <w:tcPr/>
          <w:p>
            <w:pPr>
              <w:pStyle w:val="Compact"/>
            </w:pPr>
            <w:r>
              <w:t xml:space="preserve">0</w:t>
            </w:r>
          </w:p>
        </w:tc>
        <w:tc>
          <w:tcPr/>
          <w:p>
            <w:pPr>
              <w:pStyle w:val="Compact"/>
            </w:pPr>
            <w:r>
              <w:t xml:space="preserve">4</w:t>
            </w:r>
          </w:p>
        </w:tc>
        <w:tc>
          <w:tcPr/>
          <w:p>
            <w:pPr>
              <w:pStyle w:val="Compact"/>
            </w:pPr>
            <w:r>
              <w:t xml:space="preserve">102</w:t>
            </w:r>
          </w:p>
        </w:tc>
        <w:tc>
          <w:tcPr/>
          <w:p>
            <w:pPr>
              <w:pStyle w:val="Compact"/>
            </w:pPr>
            <w:r>
              <w:t xml:space="preserve">97.6 (93.9–99.3)</w:t>
            </w:r>
          </w:p>
        </w:tc>
        <w:tc>
          <w:tcPr/>
          <w:p>
            <w:pPr>
              <w:pStyle w:val="Compact"/>
            </w:pPr>
            <w:r>
              <w:t xml:space="preserve">100.0 (96.4–100.0)</w:t>
            </w:r>
          </w:p>
        </w:tc>
      </w:tr>
      <w:tr>
        <w:tc>
          <w:tcPr/>
          <w:p>
            <w:pPr>
              <w:pStyle w:val="Compact"/>
            </w:pPr>
            <w:r>
              <w:t xml:space="preserve">Fior</w:t>
            </w:r>
          </w:p>
        </w:tc>
        <w:tc>
          <w:tcPr/>
          <w:p>
            <w:pPr>
              <w:pStyle w:val="Compact"/>
            </w:pPr>
            <w:r>
              <w:t xml:space="preserve">2019</w:t>
            </w:r>
          </w:p>
        </w:tc>
        <w:tc>
          <w:tcPr/>
          <w:p>
            <w:pPr>
              <w:pStyle w:val="Compact"/>
            </w:pPr>
            <w:r>
              <w:t xml:space="preserve">Italy</w:t>
            </w:r>
          </w:p>
        </w:tc>
        <w:tc>
          <w:tcPr/>
          <w:p>
            <w:pPr>
              <w:pStyle w:val="Compact"/>
            </w:pPr>
            <w:r>
              <w:t xml:space="preserve">375</w:t>
            </w:r>
          </w:p>
        </w:tc>
        <w:tc>
          <w:tcPr/>
          <w:p>
            <w:pPr>
              <w:pStyle w:val="Compact"/>
            </w:pPr>
            <w:r>
              <w:t xml:space="preserve">283</w:t>
            </w:r>
          </w:p>
        </w:tc>
        <w:tc>
          <w:tcPr/>
          <w:p>
            <w:pPr>
              <w:pStyle w:val="Compact"/>
            </w:pPr>
            <w:r>
              <w:t xml:space="preserve">0</w:t>
            </w:r>
          </w:p>
        </w:tc>
        <w:tc>
          <w:tcPr/>
          <w:p>
            <w:pPr>
              <w:pStyle w:val="Compact"/>
            </w:pPr>
            <w:r>
              <w:t xml:space="preserve">40</w:t>
            </w:r>
          </w:p>
        </w:tc>
        <w:tc>
          <w:tcPr/>
          <w:p>
            <w:pPr>
              <w:pStyle w:val="Compact"/>
            </w:pPr>
            <w:r>
              <w:t xml:space="preserve">52</w:t>
            </w:r>
          </w:p>
        </w:tc>
        <w:tc>
          <w:tcPr/>
          <w:p>
            <w:pPr>
              <w:pStyle w:val="Compact"/>
            </w:pPr>
            <w:r>
              <w:t xml:space="preserve">87.6 (83.5–91.0)</w:t>
            </w:r>
          </w:p>
        </w:tc>
        <w:tc>
          <w:tcPr/>
          <w:p>
            <w:pPr>
              <w:pStyle w:val="Compact"/>
            </w:pPr>
            <w:r>
              <w:t xml:space="preserve">100.0 (93.2–100.0)</w:t>
            </w:r>
          </w:p>
        </w:tc>
      </w:tr>
      <w:tr>
        <w:tc>
          <w:tcPr/>
          <w:p>
            <w:pPr>
              <w:pStyle w:val="Compact"/>
            </w:pPr>
            <w:r>
              <w:t xml:space="preserve">Akkakrisee</w:t>
            </w:r>
          </w:p>
        </w:tc>
        <w:tc>
          <w:tcPr/>
          <w:p>
            <w:pPr>
              <w:pStyle w:val="Compact"/>
            </w:pPr>
            <w:r>
              <w:t xml:space="preserve">2020</w:t>
            </w:r>
          </w:p>
        </w:tc>
        <w:tc>
          <w:tcPr/>
          <w:p>
            <w:pPr>
              <w:pStyle w:val="Compact"/>
            </w:pPr>
            <w:r>
              <w:t xml:space="preserve">Thailand</w:t>
            </w:r>
          </w:p>
        </w:tc>
        <w:tc>
          <w:tcPr/>
          <w:p>
            <w:pPr>
              <w:pStyle w:val="Compact"/>
            </w:pPr>
            <w:r>
              <w:t xml:space="preserve">100</w:t>
            </w:r>
          </w:p>
        </w:tc>
        <w:tc>
          <w:tcPr/>
          <w:p>
            <w:pPr>
              <w:pStyle w:val="Compact"/>
            </w:pPr>
            <w:r>
              <w:t xml:space="preserve">70</w:t>
            </w:r>
          </w:p>
        </w:tc>
        <w:tc>
          <w:tcPr/>
          <w:p>
            <w:pPr>
              <w:pStyle w:val="Compact"/>
            </w:pPr>
            <w:r>
              <w:t xml:space="preserve">0</w:t>
            </w:r>
          </w:p>
        </w:tc>
        <w:tc>
          <w:tcPr/>
          <w:p>
            <w:pPr>
              <w:pStyle w:val="Compact"/>
            </w:pPr>
            <w:r>
              <w:t xml:space="preserve">5</w:t>
            </w:r>
          </w:p>
        </w:tc>
        <w:tc>
          <w:tcPr/>
          <w:p>
            <w:pPr>
              <w:pStyle w:val="Compact"/>
            </w:pPr>
            <w:r>
              <w:t xml:space="preserve">25</w:t>
            </w:r>
          </w:p>
        </w:tc>
        <w:tc>
          <w:tcPr/>
          <w:p>
            <w:pPr>
              <w:pStyle w:val="Compact"/>
            </w:pPr>
            <w:r>
              <w:t xml:space="preserve">93.3 (85.1–97.8)</w:t>
            </w:r>
          </w:p>
        </w:tc>
        <w:tc>
          <w:tcPr/>
          <w:p>
            <w:pPr>
              <w:pStyle w:val="Compact"/>
            </w:pPr>
            <w:r>
              <w:t xml:space="preserve">100.0 (86.3–100.0)</w:t>
            </w:r>
          </w:p>
        </w:tc>
      </w:tr>
      <w:tr>
        <w:tc>
          <w:tcPr/>
          <w:p>
            <w:pPr>
              <w:pStyle w:val="Compact"/>
            </w:pPr>
            <w:r>
              <w:t xml:space="preserve">Gulias-Soidan</w:t>
            </w:r>
          </w:p>
        </w:tc>
        <w:tc>
          <w:tcPr/>
          <w:p>
            <w:pPr>
              <w:pStyle w:val="Compact"/>
            </w:pPr>
            <w:r>
              <w:t xml:space="preserve">2020</w:t>
            </w:r>
          </w:p>
        </w:tc>
        <w:tc>
          <w:tcPr/>
          <w:p>
            <w:pPr>
              <w:pStyle w:val="Compact"/>
            </w:pPr>
            <w:r>
              <w:t xml:space="preserve">Spain</w:t>
            </w:r>
          </w:p>
        </w:tc>
        <w:tc>
          <w:tcPr/>
          <w:p>
            <w:pPr>
              <w:pStyle w:val="Compact"/>
            </w:pPr>
            <w:r>
              <w:t xml:space="preserve">98</w:t>
            </w:r>
          </w:p>
        </w:tc>
        <w:tc>
          <w:tcPr/>
          <w:p>
            <w:pPr>
              <w:pStyle w:val="Compact"/>
            </w:pPr>
            <w:r>
              <w:t xml:space="preserve">87</w:t>
            </w:r>
          </w:p>
        </w:tc>
        <w:tc>
          <w:tcPr/>
          <w:p>
            <w:pPr>
              <w:pStyle w:val="Compact"/>
            </w:pPr>
            <w:r>
              <w:t xml:space="preserve">0</w:t>
            </w:r>
          </w:p>
        </w:tc>
        <w:tc>
          <w:tcPr/>
          <w:p>
            <w:pPr>
              <w:pStyle w:val="Compact"/>
            </w:pPr>
            <w:r>
              <w:t xml:space="preserve">8</w:t>
            </w:r>
          </w:p>
        </w:tc>
        <w:tc>
          <w:tcPr/>
          <w:p>
            <w:pPr>
              <w:pStyle w:val="Compact"/>
            </w:pPr>
            <w:r>
              <w:t xml:space="preserve">3</w:t>
            </w:r>
          </w:p>
        </w:tc>
        <w:tc>
          <w:tcPr/>
          <w:p>
            <w:pPr>
              <w:pStyle w:val="Compact"/>
            </w:pPr>
            <w:r>
              <w:t xml:space="preserve">91.6 (84.1–96.3)</w:t>
            </w:r>
          </w:p>
        </w:tc>
        <w:tc>
          <w:tcPr/>
          <w:p>
            <w:pPr>
              <w:pStyle w:val="Compact"/>
            </w:pPr>
            <w:r>
              <w:t xml:space="preserve">100.0 (29.2–100.0)</w:t>
            </w:r>
          </w:p>
        </w:tc>
      </w:tr>
      <w:tr>
        <w:tc>
          <w:tcPr/>
          <w:p>
            <w:pPr>
              <w:pStyle w:val="Compact"/>
            </w:pPr>
            <w:r>
              <w:t xml:space="preserve">Fontana</w:t>
            </w:r>
          </w:p>
        </w:tc>
        <w:tc>
          <w:tcPr/>
          <w:p>
            <w:pPr>
              <w:pStyle w:val="Compact"/>
            </w:pPr>
            <w:r>
              <w:t xml:space="preserve">2021</w:t>
            </w:r>
          </w:p>
        </w:tc>
        <w:tc>
          <w:tcPr/>
          <w:p>
            <w:pPr>
              <w:pStyle w:val="Compact"/>
            </w:pPr>
            <w:r>
              <w:t xml:space="preserve">Italy</w:t>
            </w:r>
          </w:p>
        </w:tc>
        <w:tc>
          <w:tcPr/>
          <w:p>
            <w:pPr>
              <w:pStyle w:val="Compact"/>
            </w:pPr>
            <w:r>
              <w:t xml:space="preserve">84</w:t>
            </w:r>
          </w:p>
        </w:tc>
        <w:tc>
          <w:tcPr/>
          <w:p>
            <w:pPr>
              <w:pStyle w:val="Compact"/>
            </w:pPr>
            <w:r>
              <w:t xml:space="preserve">69</w:t>
            </w:r>
          </w:p>
        </w:tc>
        <w:tc>
          <w:tcPr/>
          <w:p>
            <w:pPr>
              <w:pStyle w:val="Compact"/>
            </w:pPr>
            <w:r>
              <w:t xml:space="preserve">0</w:t>
            </w:r>
          </w:p>
        </w:tc>
        <w:tc>
          <w:tcPr/>
          <w:p>
            <w:pPr>
              <w:pStyle w:val="Compact"/>
            </w:pPr>
            <w:r>
              <w:t xml:space="preserve">4</w:t>
            </w:r>
          </w:p>
        </w:tc>
        <w:tc>
          <w:tcPr/>
          <w:p>
            <w:pPr>
              <w:pStyle w:val="Compact"/>
            </w:pPr>
            <w:r>
              <w:t xml:space="preserve">11</w:t>
            </w:r>
          </w:p>
        </w:tc>
        <w:tc>
          <w:tcPr/>
          <w:p>
            <w:pPr>
              <w:pStyle w:val="Compact"/>
            </w:pPr>
            <w:r>
              <w:t xml:space="preserve">94.5 (86.6–98.5)</w:t>
            </w:r>
          </w:p>
        </w:tc>
        <w:tc>
          <w:tcPr/>
          <w:p>
            <w:pPr>
              <w:pStyle w:val="Compact"/>
            </w:pPr>
            <w:r>
              <w:t xml:space="preserve">100.0 (71.5–100.0)</w:t>
            </w:r>
          </w:p>
        </w:tc>
      </w:tr>
      <w:tr>
        <w:tc>
          <w:tcPr/>
          <w:p>
            <w:pPr>
              <w:pStyle w:val="Compact"/>
            </w:pPr>
            <w:r>
              <w:t xml:space="preserve">Han</w:t>
            </w:r>
          </w:p>
        </w:tc>
        <w:tc>
          <w:tcPr/>
          <w:p>
            <w:pPr>
              <w:pStyle w:val="Compact"/>
            </w:pPr>
            <w:r>
              <w:t xml:space="preserve">2022</w:t>
            </w:r>
          </w:p>
        </w:tc>
        <w:tc>
          <w:tcPr/>
          <w:p>
            <w:pPr>
              <w:pStyle w:val="Compact"/>
            </w:pPr>
            <w:r>
              <w:t xml:space="preserve">Korea</w:t>
            </w:r>
          </w:p>
        </w:tc>
        <w:tc>
          <w:tcPr/>
          <w:p>
            <w:pPr>
              <w:pStyle w:val="Compact"/>
            </w:pPr>
            <w:r>
              <w:t xml:space="preserve">122</w:t>
            </w:r>
          </w:p>
        </w:tc>
        <w:tc>
          <w:tcPr/>
          <w:p>
            <w:pPr>
              <w:pStyle w:val="Compact"/>
            </w:pPr>
            <w:r>
              <w:t xml:space="preserve">85</w:t>
            </w:r>
          </w:p>
        </w:tc>
        <w:tc>
          <w:tcPr/>
          <w:p>
            <w:pPr>
              <w:pStyle w:val="Compact"/>
            </w:pPr>
            <w:r>
              <w:t xml:space="preserve">0</w:t>
            </w:r>
          </w:p>
        </w:tc>
        <w:tc>
          <w:tcPr/>
          <w:p>
            <w:pPr>
              <w:pStyle w:val="Compact"/>
            </w:pPr>
            <w:r>
              <w:t xml:space="preserve">7</w:t>
            </w:r>
          </w:p>
        </w:tc>
        <w:tc>
          <w:tcPr/>
          <w:p>
            <w:pPr>
              <w:pStyle w:val="Compact"/>
            </w:pPr>
            <w:r>
              <w:t xml:space="preserve">30</w:t>
            </w:r>
          </w:p>
        </w:tc>
        <w:tc>
          <w:tcPr/>
          <w:p>
            <w:pPr>
              <w:pStyle w:val="Compact"/>
            </w:pPr>
            <w:r>
              <w:t xml:space="preserve">92.4 (84.9–96.9)</w:t>
            </w:r>
          </w:p>
        </w:tc>
        <w:tc>
          <w:tcPr/>
          <w:p>
            <w:pPr>
              <w:pStyle w:val="Compact"/>
            </w:pPr>
            <w:r>
              <w:t xml:space="preserve">100.0 (88.4–100.0)</w:t>
            </w:r>
          </w:p>
        </w:tc>
      </w:tr>
      <w:tr>
        <w:tc>
          <w:tcPr/>
          <w:p>
            <w:pPr>
              <w:pStyle w:val="Compact"/>
            </w:pPr>
            <w:r>
              <w:t xml:space="preserve">Ren</w:t>
            </w:r>
          </w:p>
        </w:tc>
        <w:tc>
          <w:tcPr/>
          <w:p>
            <w:pPr>
              <w:pStyle w:val="Compact"/>
            </w:pPr>
            <w:r>
              <w:t xml:space="preserve">2022</w:t>
            </w:r>
          </w:p>
        </w:tc>
        <w:tc>
          <w:tcPr/>
          <w:p>
            <w:pPr>
              <w:pStyle w:val="Compact"/>
            </w:pPr>
            <w:r>
              <w:t xml:space="preserve">China</w:t>
            </w:r>
          </w:p>
        </w:tc>
        <w:tc>
          <w:tcPr/>
          <w:p>
            <w:pPr>
              <w:pStyle w:val="Compact"/>
            </w:pPr>
            <w:r>
              <w:t xml:space="preserve">137</w:t>
            </w:r>
          </w:p>
        </w:tc>
        <w:tc>
          <w:tcPr/>
          <w:p>
            <w:pPr>
              <w:pStyle w:val="Compact"/>
            </w:pPr>
            <w:r>
              <w:t xml:space="preserve">101</w:t>
            </w:r>
          </w:p>
        </w:tc>
        <w:tc>
          <w:tcPr/>
          <w:p>
            <w:pPr>
              <w:pStyle w:val="Compact"/>
            </w:pPr>
            <w:r>
              <w:t xml:space="preserve">1</w:t>
            </w:r>
          </w:p>
        </w:tc>
        <w:tc>
          <w:tcPr/>
          <w:p>
            <w:pPr>
              <w:pStyle w:val="Compact"/>
            </w:pPr>
            <w:r>
              <w:t xml:space="preserve">6</w:t>
            </w:r>
          </w:p>
        </w:tc>
        <w:tc>
          <w:tcPr/>
          <w:p>
            <w:pPr>
              <w:pStyle w:val="Compact"/>
            </w:pPr>
            <w:r>
              <w:t xml:space="preserve">29</w:t>
            </w:r>
          </w:p>
        </w:tc>
        <w:tc>
          <w:tcPr/>
          <w:p>
            <w:pPr>
              <w:pStyle w:val="Compact"/>
            </w:pPr>
            <w:r>
              <w:t xml:space="preserve">94.4 (88.2–97.9)</w:t>
            </w:r>
          </w:p>
        </w:tc>
        <w:tc>
          <w:tcPr/>
          <w:p>
            <w:pPr>
              <w:pStyle w:val="Compact"/>
            </w:pPr>
            <w:r>
              <w:t xml:space="preserve">96.7 (82.8–99.9)</w:t>
            </w:r>
          </w:p>
        </w:tc>
      </w:tr>
      <w:tr>
        <w:tc>
          <w:tcPr/>
          <w:p>
            <w:pPr>
              <w:pStyle w:val="Compact"/>
            </w:pPr>
            <w:r>
              <w:t xml:space="preserve">Yang_L</w:t>
            </w:r>
          </w:p>
        </w:tc>
        <w:tc>
          <w:tcPr/>
          <w:p>
            <w:pPr>
              <w:pStyle w:val="Compact"/>
            </w:pPr>
            <w:r>
              <w:t xml:space="preserve">2022</w:t>
            </w:r>
          </w:p>
        </w:tc>
        <w:tc>
          <w:tcPr/>
          <w:p>
            <w:pPr>
              <w:pStyle w:val="Compact"/>
            </w:pPr>
            <w:r>
              <w:t xml:space="preserve">China</w:t>
            </w:r>
          </w:p>
        </w:tc>
        <w:tc>
          <w:tcPr/>
          <w:p>
            <w:pPr>
              <w:pStyle w:val="Compact"/>
            </w:pPr>
            <w:r>
              <w:t xml:space="preserve">135</w:t>
            </w:r>
          </w:p>
        </w:tc>
        <w:tc>
          <w:tcPr/>
          <w:p>
            <w:pPr>
              <w:pStyle w:val="Compact"/>
            </w:pPr>
            <w:r>
              <w:t xml:space="preserve">98</w:t>
            </w:r>
          </w:p>
        </w:tc>
        <w:tc>
          <w:tcPr/>
          <w:p>
            <w:pPr>
              <w:pStyle w:val="Compact"/>
            </w:pPr>
            <w:r>
              <w:t xml:space="preserve">0</w:t>
            </w:r>
          </w:p>
        </w:tc>
        <w:tc>
          <w:tcPr/>
          <w:p>
            <w:pPr>
              <w:pStyle w:val="Compact"/>
            </w:pPr>
            <w:r>
              <w:t xml:space="preserve">1</w:t>
            </w:r>
          </w:p>
        </w:tc>
        <w:tc>
          <w:tcPr/>
          <w:p>
            <w:pPr>
              <w:pStyle w:val="Compact"/>
            </w:pPr>
            <w:r>
              <w:t xml:space="preserve">36</w:t>
            </w:r>
          </w:p>
        </w:tc>
        <w:tc>
          <w:tcPr/>
          <w:p>
            <w:pPr>
              <w:pStyle w:val="Compact"/>
            </w:pPr>
            <w:r>
              <w:t xml:space="preserve">99.0 (94.5–100.0)</w:t>
            </w:r>
          </w:p>
        </w:tc>
        <w:tc>
          <w:tcPr/>
          <w:p>
            <w:pPr>
              <w:pStyle w:val="Compact"/>
            </w:pPr>
            <w:r>
              <w:t xml:space="preserve">100.0 (90.3–100.0)</w:t>
            </w:r>
          </w:p>
        </w:tc>
      </w:tr>
      <w:tr>
        <w:tc>
          <w:tcPr/>
          <w:p>
            <w:pPr>
              <w:pStyle w:val="Compact"/>
            </w:pPr>
            <w:r>
              <w:t xml:space="preserve">Cho</w:t>
            </w:r>
          </w:p>
        </w:tc>
        <w:tc>
          <w:tcPr/>
          <w:p>
            <w:pPr>
              <w:pStyle w:val="Compact"/>
            </w:pPr>
            <w:r>
              <w:t xml:space="preserve">2024</w:t>
            </w:r>
          </w:p>
        </w:tc>
        <w:tc>
          <w:tcPr/>
          <w:p>
            <w:pPr>
              <w:pStyle w:val="Compact"/>
            </w:pPr>
            <w:r>
              <w:t xml:space="preserve">Korea</w:t>
            </w:r>
          </w:p>
        </w:tc>
        <w:tc>
          <w:tcPr/>
          <w:p>
            <w:pPr>
              <w:pStyle w:val="Compact"/>
            </w:pPr>
            <w:r>
              <w:t xml:space="preserve">245</w:t>
            </w:r>
          </w:p>
        </w:tc>
        <w:tc>
          <w:tcPr/>
          <w:p>
            <w:pPr>
              <w:pStyle w:val="Compact"/>
            </w:pPr>
            <w:r>
              <w:t xml:space="preserve">206</w:t>
            </w:r>
          </w:p>
        </w:tc>
        <w:tc>
          <w:tcPr/>
          <w:p>
            <w:pPr>
              <w:pStyle w:val="Compact"/>
            </w:pPr>
            <w:r>
              <w:t xml:space="preserve">0</w:t>
            </w:r>
          </w:p>
        </w:tc>
        <w:tc>
          <w:tcPr/>
          <w:p>
            <w:pPr>
              <w:pStyle w:val="Compact"/>
            </w:pPr>
            <w:r>
              <w:t xml:space="preserve">28</w:t>
            </w:r>
          </w:p>
        </w:tc>
        <w:tc>
          <w:tcPr/>
          <w:p>
            <w:pPr>
              <w:pStyle w:val="Compact"/>
            </w:pPr>
            <w:r>
              <w:t xml:space="preserve">11</w:t>
            </w:r>
          </w:p>
        </w:tc>
        <w:tc>
          <w:tcPr/>
          <w:p>
            <w:pPr>
              <w:pStyle w:val="Compact"/>
            </w:pPr>
            <w:r>
              <w:t xml:space="preserve">88.0 (83.2–91.9)</w:t>
            </w:r>
          </w:p>
        </w:tc>
        <w:tc>
          <w:tcPr/>
          <w:p>
            <w:pPr>
              <w:pStyle w:val="Compact"/>
            </w:pPr>
            <w:r>
              <w:t xml:space="preserve">100.0 (71.5–100.0)</w:t>
            </w:r>
          </w:p>
        </w:tc>
      </w:tr>
      <w:tr>
        <w:tc>
          <w:tcPr/>
          <w:p>
            <w:pPr>
              <w:pStyle w:val="Compact"/>
            </w:pPr>
            <w:r>
              <w:t xml:space="preserve">Zou</w:t>
            </w:r>
          </w:p>
        </w:tc>
        <w:tc>
          <w:tcPr/>
          <w:p>
            <w:pPr>
              <w:pStyle w:val="Compact"/>
            </w:pPr>
            <w:r>
              <w:t xml:space="preserve">2024</w:t>
            </w:r>
          </w:p>
        </w:tc>
        <w:tc>
          <w:tcPr/>
          <w:p>
            <w:pPr>
              <w:pStyle w:val="Compact"/>
            </w:pPr>
            <w:r>
              <w:t xml:space="preserve">China</w:t>
            </w:r>
          </w:p>
        </w:tc>
        <w:tc>
          <w:tcPr/>
          <w:p>
            <w:pPr>
              <w:pStyle w:val="Compact"/>
            </w:pPr>
            <w:r>
              <w:t xml:space="preserve">161</w:t>
            </w:r>
          </w:p>
        </w:tc>
        <w:tc>
          <w:tcPr/>
          <w:p>
            <w:pPr>
              <w:pStyle w:val="Compact"/>
            </w:pPr>
            <w:r>
              <w:t xml:space="preserve">129</w:t>
            </w:r>
          </w:p>
        </w:tc>
        <w:tc>
          <w:tcPr/>
          <w:p>
            <w:pPr>
              <w:pStyle w:val="Compact"/>
            </w:pPr>
            <w:r>
              <w:t xml:space="preserve">0</w:t>
            </w:r>
          </w:p>
        </w:tc>
        <w:tc>
          <w:tcPr/>
          <w:p>
            <w:pPr>
              <w:pStyle w:val="Compact"/>
            </w:pPr>
            <w:r>
              <w:t xml:space="preserve">10</w:t>
            </w:r>
          </w:p>
        </w:tc>
        <w:tc>
          <w:tcPr/>
          <w:p>
            <w:pPr>
              <w:pStyle w:val="Compact"/>
            </w:pPr>
            <w:r>
              <w:t xml:space="preserve">22</w:t>
            </w:r>
          </w:p>
        </w:tc>
        <w:tc>
          <w:tcPr/>
          <w:p>
            <w:pPr>
              <w:pStyle w:val="Compact"/>
            </w:pPr>
            <w:r>
              <w:t xml:space="preserve">92.8 (87.2–96.5)</w:t>
            </w:r>
          </w:p>
        </w:tc>
        <w:tc>
          <w:tcPr/>
          <w:p>
            <w:pPr>
              <w:pStyle w:val="Compact"/>
            </w:pPr>
            <w:r>
              <w:t xml:space="preserve">100.0 (84.6–100.0)</w:t>
            </w:r>
          </w:p>
        </w:tc>
      </w:tr>
      <w:tr>
        <w:tc>
          <w:tcPr/>
          <w:p>
            <w:pPr>
              <w:pStyle w:val="Compact"/>
            </w:pPr>
            <w:r>
              <w:t xml:space="preserve">Chen</w:t>
            </w:r>
          </w:p>
        </w:tc>
        <w:tc>
          <w:tcPr/>
          <w:p>
            <w:pPr>
              <w:pStyle w:val="Compact"/>
            </w:pPr>
            <w:r>
              <w:t xml:space="preserve">2026</w:t>
            </w:r>
          </w:p>
        </w:tc>
        <w:tc>
          <w:tcPr/>
          <w:p>
            <w:pPr>
              <w:pStyle w:val="Compact"/>
            </w:pPr>
            <w:r>
              <w:t xml:space="preserve">Taiwan</w:t>
            </w:r>
          </w:p>
        </w:tc>
        <w:tc>
          <w:tcPr/>
          <w:p>
            <w:pPr>
              <w:pStyle w:val="Compact"/>
            </w:pPr>
            <w:r>
              <w:t xml:space="preserve">77</w:t>
            </w:r>
          </w:p>
        </w:tc>
        <w:tc>
          <w:tcPr/>
          <w:p>
            <w:pPr>
              <w:pStyle w:val="Compact"/>
            </w:pPr>
            <w:r>
              <w:t xml:space="preserve">56</w:t>
            </w:r>
          </w:p>
        </w:tc>
        <w:tc>
          <w:tcPr/>
          <w:p>
            <w:pPr>
              <w:pStyle w:val="Compact"/>
            </w:pPr>
            <w:r>
              <w:t xml:space="preserve">0</w:t>
            </w:r>
          </w:p>
        </w:tc>
        <w:tc>
          <w:tcPr/>
          <w:p>
            <w:pPr>
              <w:pStyle w:val="Compact"/>
            </w:pPr>
            <w:r>
              <w:t xml:space="preserve">4</w:t>
            </w:r>
          </w:p>
        </w:tc>
        <w:tc>
          <w:tcPr/>
          <w:p>
            <w:pPr>
              <w:pStyle w:val="Compact"/>
            </w:pPr>
            <w:r>
              <w:t xml:space="preserve">17</w:t>
            </w:r>
          </w:p>
        </w:tc>
        <w:tc>
          <w:tcPr/>
          <w:p>
            <w:pPr>
              <w:pStyle w:val="Compact"/>
            </w:pPr>
            <w:r>
              <w:t xml:space="preserve">93.3 (83.8–98.2)</w:t>
            </w:r>
          </w:p>
        </w:tc>
        <w:tc>
          <w:tcPr/>
          <w:p>
            <w:pPr>
              <w:pStyle w:val="Compact"/>
            </w:pPr>
            <w:r>
              <w:t xml:space="preserve">100.0 (80.5–100.0)</w:t>
            </w:r>
          </w:p>
        </w:tc>
      </w:tr>
      <w:tr>
        <w:tc>
          <w:tcPr/>
          <w:p>
            <w:pPr>
              <w:pStyle w:val="Compact"/>
            </w:pPr>
            <w:r>
              <w:t xml:space="preserve">Yuan</w:t>
            </w:r>
          </w:p>
        </w:tc>
        <w:tc>
          <w:tcPr/>
          <w:p>
            <w:pPr>
              <w:pStyle w:val="Compact"/>
            </w:pPr>
            <w:r>
              <w:t xml:space="preserve">2026</w:t>
            </w:r>
          </w:p>
        </w:tc>
        <w:tc>
          <w:tcPr/>
          <w:p>
            <w:pPr>
              <w:pStyle w:val="Compact"/>
            </w:pPr>
            <w:r>
              <w:t xml:space="preserve">China</w:t>
            </w:r>
          </w:p>
        </w:tc>
        <w:tc>
          <w:tcPr/>
          <w:p>
            <w:pPr>
              <w:pStyle w:val="Compact"/>
            </w:pPr>
            <w:r>
              <w:t xml:space="preserve">81</w:t>
            </w:r>
          </w:p>
        </w:tc>
        <w:tc>
          <w:tcPr/>
          <w:p>
            <w:pPr>
              <w:pStyle w:val="Compact"/>
            </w:pPr>
            <w:r>
              <w:t xml:space="preserve">50</w:t>
            </w:r>
          </w:p>
        </w:tc>
        <w:tc>
          <w:tcPr/>
          <w:p>
            <w:pPr>
              <w:pStyle w:val="Compact"/>
            </w:pPr>
            <w:r>
              <w:t xml:space="preserve">0</w:t>
            </w:r>
          </w:p>
        </w:tc>
        <w:tc>
          <w:tcPr/>
          <w:p>
            <w:pPr>
              <w:pStyle w:val="Compact"/>
            </w:pPr>
            <w:r>
              <w:t xml:space="preserve">5</w:t>
            </w:r>
          </w:p>
        </w:tc>
        <w:tc>
          <w:tcPr/>
          <w:p>
            <w:pPr>
              <w:pStyle w:val="Compact"/>
            </w:pPr>
            <w:r>
              <w:t xml:space="preserve">26</w:t>
            </w:r>
          </w:p>
        </w:tc>
        <w:tc>
          <w:tcPr/>
          <w:p>
            <w:pPr>
              <w:pStyle w:val="Compact"/>
            </w:pPr>
            <w:r>
              <w:t xml:space="preserve">90.9 (80.0–97.0)</w:t>
            </w:r>
          </w:p>
        </w:tc>
        <w:tc>
          <w:tcPr/>
          <w:p>
            <w:pPr>
              <w:pStyle w:val="Compact"/>
            </w:pPr>
            <w:r>
              <w:t xml:space="preserve">100.0 (86.8–100.0)</w:t>
            </w:r>
          </w:p>
        </w:tc>
      </w:tr>
      <w:tr>
        <w:tc>
          <w:tcPr/>
          <w:p>
            <w:pPr>
              <w:pStyle w:val="Compact"/>
            </w:pPr>
            <w:r>
              <w:rPr>
                <w:b/>
                <w:bCs/>
              </w:rPr>
              <w:t xml:space="preserve">Total</w:t>
            </w:r>
          </w:p>
        </w:tc>
        <w:tc>
          <w:tcPr/>
          <w:p>
            <w:pPr>
              <w:pStyle w:val="Compact"/>
            </w:pPr>
          </w:p>
        </w:tc>
        <w:tc>
          <w:tcPr/>
          <w:p>
            <w:pPr>
              <w:pStyle w:val="Compact"/>
            </w:pPr>
          </w:p>
        </w:tc>
        <w:tc>
          <w:tcPr/>
          <w:p>
            <w:pPr>
              <w:pStyle w:val="Compact"/>
            </w:pPr>
            <w:r>
              <w:rPr>
                <w:b/>
                <w:bCs/>
              </w:rPr>
              <w:t xml:space="preserve">3,681</w:t>
            </w:r>
          </w:p>
        </w:tc>
        <w:tc>
          <w:tcPr/>
          <w:p>
            <w:pPr>
              <w:pStyle w:val="Compact"/>
            </w:pPr>
            <w:r>
              <w:rPr>
                <w:b/>
                <w:bCs/>
              </w:rPr>
              <w:t xml:space="preserve">2,620</w:t>
            </w:r>
          </w:p>
        </w:tc>
        <w:tc>
          <w:tcPr/>
          <w:p>
            <w:pPr>
              <w:pStyle w:val="Compact"/>
            </w:pPr>
            <w:r>
              <w:rPr>
                <w:b/>
                <w:bCs/>
              </w:rPr>
              <w:t xml:space="preserve">4</w:t>
            </w:r>
          </w:p>
        </w:tc>
        <w:tc>
          <w:tcPr/>
          <w:p>
            <w:pPr>
              <w:pStyle w:val="Compact"/>
            </w:pPr>
            <w:r>
              <w:rPr>
                <w:b/>
                <w:bCs/>
              </w:rPr>
              <w:t xml:space="preserve">194</w:t>
            </w:r>
          </w:p>
        </w:tc>
        <w:tc>
          <w:tcPr/>
          <w:p>
            <w:pPr>
              <w:pStyle w:val="Compact"/>
            </w:pPr>
            <w:r>
              <w:rPr>
                <w:b/>
                <w:bCs/>
              </w:rPr>
              <w:t xml:space="preserve">863</w:t>
            </w:r>
          </w:p>
        </w:tc>
        <w:tc>
          <w:tcPr/>
          <w:p>
            <w:pPr>
              <w:pStyle w:val="Compact"/>
            </w:pPr>
          </w:p>
        </w:tc>
        <w:tc>
          <w:tcPr/>
          <w:p>
            <w:pPr>
              <w:pStyle w:val="Compact"/>
            </w:pPr>
          </w:p>
        </w:tc>
      </w:tr>
    </w:tbl>
    <w:p>
      <w:pPr>
        <w:pStyle w:val="BodyText"/>
      </w:pPr>
      <w:r>
        <w:rPr>
          <w:b/>
          <w:bCs/>
        </w:rPr>
        <w:t xml:space="preserve">Footnote.</w:t>
      </w:r>
      <w:r>
        <w:t xml:space="preserve"> </w:t>
      </w:r>
      <w:r>
        <w:t xml:space="preserve">TP, true positive; FP, false positive; FN, false negative; TN, true negative. Specificity CIs with denominators below 10 (Cheng: TN+FP = 2; Gulias-Soidan: TN+FP = 3; Hwang: TN+FP = 9) are inherently imprecise and should be interpreted cautiously in forest plots. Nineteen of 22 studies report FP = 0, and the total FP across the corpus is 4 (Ren 1, Jiao 2, Hwang 1); this concentration of zero-FP studies reflects the differential verification structure of the underlying DTA studies (QUADAS-2 Domain 4 high-risk across all 22 studies), and it structurally compresses the between-study variance that the bivariate Reitsma I² estimator is designed to detect (see Discussion, Limitation 3 for the specificity-as-upper-bound interpretation). Cho 2024 values reflect the intention-to-diagnose reconciliation in which all 23 non-evaluable results were re-classified as test-negative and assigned by final reference diagnosis (see Supplementary Material 13); per-protocol counts reported in the primary publication (N = 222, TP = 206, FN = 6, TN = 10) yield Sn = 97.2 % (93.9–99.0) instead of 88.0 %.</w:t>
      </w:r>
    </w:p>
    <w:bookmarkEnd w:id="40"/>
    <w:bookmarkStart w:id="41" w:name="X68a592c4d389f663aadb432db6bc3a915d91559"/>
    <w:p>
      <w:pPr>
        <w:pStyle w:val="Heading1"/>
      </w:pPr>
      <w:r>
        <w:t xml:space="preserve">Supplementary Material 8. Per-study complication rates</w:t>
      </w:r>
    </w:p>
    <w:p>
      <w:pPr>
        <w:pStyle w:val="FirstParagraph"/>
      </w:pPr>
      <w:r>
        <w:t xml:space="preserve">Per-study pneumothorax (PTX) and hemorrhage rates for the 22 studies included in the bivariate meta-analysis. Missing values are reported as</w:t>
      </w:r>
      <w:r>
        <w:t xml:space="preserve"> </w:t>
      </w:r>
      <w:r>
        <w:t xml:space="preserve">“NR”</w:t>
      </w:r>
      <w:r>
        <w:t xml:space="preserve"> </w:t>
      </w:r>
      <w:r>
        <w:t xml:space="preserve">(not reported).</w:t>
      </w:r>
    </w:p>
    <w:p>
      <w:pPr>
        <w:pStyle w:val="BodyText"/>
      </w:pPr>
      <w:r>
        <w:t xml:space="preserve">Per-study complication rates were taken from the extracted study-level data.</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Study</w:t>
            </w:r>
          </w:p>
        </w:tc>
        <w:tc>
          <w:tcPr/>
          <w:p>
            <w:pPr>
              <w:pStyle w:val="Compact"/>
            </w:pPr>
            <w:r>
              <w:t xml:space="preserve">Year</w:t>
            </w:r>
          </w:p>
        </w:tc>
        <w:tc>
          <w:tcPr/>
          <w:p>
            <w:pPr>
              <w:pStyle w:val="Compact"/>
            </w:pPr>
            <w:r>
              <w:t xml:space="preserve">Country</w:t>
            </w:r>
          </w:p>
        </w:tc>
        <w:tc>
          <w:tcPr/>
          <w:p>
            <w:pPr>
              <w:pStyle w:val="Compact"/>
            </w:pPr>
            <w:r>
              <w:t xml:space="preserve">n</w:t>
            </w:r>
          </w:p>
        </w:tc>
        <w:tc>
          <w:tcPr/>
          <w:p>
            <w:pPr>
              <w:pStyle w:val="Compact"/>
            </w:pPr>
            <w:r>
              <w:t xml:space="preserve">Design</w:t>
            </w:r>
          </w:p>
        </w:tc>
        <w:tc>
          <w:tcPr/>
          <w:p>
            <w:pPr>
              <w:pStyle w:val="Compact"/>
            </w:pPr>
            <w:r>
              <w:t xml:space="preserve">CBCT</w:t>
            </w:r>
          </w:p>
        </w:tc>
        <w:tc>
          <w:tcPr/>
          <w:p>
            <w:pPr>
              <w:pStyle w:val="Compact"/>
            </w:pPr>
            <w:r>
              <w:t xml:space="preserve">Needle</w:t>
            </w:r>
          </w:p>
        </w:tc>
        <w:tc>
          <w:tcPr/>
          <w:p>
            <w:pPr>
              <w:pStyle w:val="Compact"/>
            </w:pPr>
            <w:r>
              <w:t xml:space="preserve">PTX %</w:t>
            </w:r>
          </w:p>
        </w:tc>
        <w:tc>
          <w:tcPr/>
          <w:p>
            <w:pPr>
              <w:pStyle w:val="Compact"/>
            </w:pPr>
            <w:r>
              <w:t xml:space="preserve">Hemorrhage %</w:t>
            </w:r>
          </w:p>
        </w:tc>
      </w:tr>
      <w:tr>
        <w:tc>
          <w:tcPr/>
          <w:p>
            <w:pPr>
              <w:pStyle w:val="Compact"/>
            </w:pPr>
            <w:r>
              <w:t xml:space="preserve">Hwang</w:t>
            </w:r>
          </w:p>
        </w:tc>
        <w:tc>
          <w:tcPr/>
          <w:p>
            <w:pPr>
              <w:pStyle w:val="Compact"/>
            </w:pPr>
            <w:r>
              <w:t xml:space="preserve">2010</w:t>
            </w:r>
          </w:p>
        </w:tc>
        <w:tc>
          <w:tcPr/>
          <w:p>
            <w:pPr>
              <w:pStyle w:val="Compact"/>
            </w:pPr>
            <w:r>
              <w:t xml:space="preserve">Korea</w:t>
            </w:r>
          </w:p>
        </w:tc>
        <w:tc>
          <w:tcPr/>
          <w:p>
            <w:pPr>
              <w:pStyle w:val="Compact"/>
            </w:pPr>
            <w:r>
              <w:t xml:space="preserve">26</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19.0</w:t>
            </w:r>
          </w:p>
        </w:tc>
        <w:tc>
          <w:tcPr/>
          <w:p>
            <w:pPr>
              <w:pStyle w:val="Compact"/>
            </w:pPr>
            <w:r>
              <w:t xml:space="preserve">3.0</w:t>
            </w:r>
          </w:p>
        </w:tc>
      </w:tr>
      <w:tr>
        <w:tc>
          <w:tcPr/>
          <w:p>
            <w:pPr>
              <w:pStyle w:val="Compact"/>
            </w:pPr>
            <w:r>
              <w:t xml:space="preserve">Cheung</w:t>
            </w:r>
          </w:p>
        </w:tc>
        <w:tc>
          <w:tcPr/>
          <w:p>
            <w:pPr>
              <w:pStyle w:val="Compact"/>
            </w:pPr>
            <w:r>
              <w:t xml:space="preserve">2011</w:t>
            </w:r>
          </w:p>
        </w:tc>
        <w:tc>
          <w:tcPr/>
          <w:p>
            <w:pPr>
              <w:pStyle w:val="Compact"/>
            </w:pPr>
            <w:r>
              <w:t xml:space="preserve">Korea</w:t>
            </w:r>
          </w:p>
        </w:tc>
        <w:tc>
          <w:tcPr/>
          <w:p>
            <w:pPr>
              <w:pStyle w:val="Compact"/>
            </w:pPr>
            <w:r>
              <w:t xml:space="preserve">74</w:t>
            </w:r>
          </w:p>
        </w:tc>
        <w:tc>
          <w:tcPr/>
          <w:p>
            <w:pPr>
              <w:pStyle w:val="Compact"/>
            </w:pPr>
            <w:r>
              <w:t xml:space="preserve">R</w:t>
            </w:r>
          </w:p>
        </w:tc>
        <w:tc>
          <w:tcPr/>
          <w:p>
            <w:pPr>
              <w:pStyle w:val="Compact"/>
            </w:pPr>
            <w:r>
              <w:t xml:space="preserve">Siemens</w:t>
            </w:r>
          </w:p>
        </w:tc>
        <w:tc>
          <w:tcPr/>
          <w:p>
            <w:pPr>
              <w:pStyle w:val="Compact"/>
            </w:pPr>
            <w:r>
              <w:t xml:space="preserve">Mixed</w:t>
            </w:r>
          </w:p>
        </w:tc>
        <w:tc>
          <w:tcPr/>
          <w:p>
            <w:pPr>
              <w:pStyle w:val="Compact"/>
            </w:pPr>
            <w:r>
              <w:t xml:space="preserve">26.0</w:t>
            </w:r>
          </w:p>
        </w:tc>
        <w:tc>
          <w:tcPr/>
          <w:p>
            <w:pPr>
              <w:pStyle w:val="Compact"/>
            </w:pPr>
            <w:r>
              <w:t xml:space="preserve">NR</w:t>
            </w:r>
          </w:p>
        </w:tc>
      </w:tr>
      <w:tr>
        <w:tc>
          <w:tcPr/>
          <w:p>
            <w:pPr>
              <w:pStyle w:val="Compact"/>
            </w:pPr>
            <w:r>
              <w:t xml:space="preserve">Braak</w:t>
            </w:r>
          </w:p>
        </w:tc>
        <w:tc>
          <w:tcPr/>
          <w:p>
            <w:pPr>
              <w:pStyle w:val="Compact"/>
            </w:pPr>
            <w:r>
              <w:t xml:space="preserve">2012</w:t>
            </w:r>
          </w:p>
        </w:tc>
        <w:tc>
          <w:tcPr/>
          <w:p>
            <w:pPr>
              <w:pStyle w:val="Compact"/>
            </w:pPr>
            <w:r>
              <w:t xml:space="preserve">Netherlands</w:t>
            </w:r>
          </w:p>
        </w:tc>
        <w:tc>
          <w:tcPr/>
          <w:p>
            <w:pPr>
              <w:pStyle w:val="Compact"/>
            </w:pPr>
            <w:r>
              <w:t xml:space="preserve">84</w:t>
            </w:r>
          </w:p>
        </w:tc>
        <w:tc>
          <w:tcPr/>
          <w:p>
            <w:pPr>
              <w:pStyle w:val="Compact"/>
            </w:pPr>
            <w:r>
              <w:t xml:space="preserve">P</w:t>
            </w:r>
          </w:p>
        </w:tc>
        <w:tc>
          <w:tcPr/>
          <w:p>
            <w:pPr>
              <w:pStyle w:val="Compact"/>
            </w:pPr>
            <w:r>
              <w:t xml:space="preserve">Philips</w:t>
            </w:r>
          </w:p>
        </w:tc>
        <w:tc>
          <w:tcPr/>
          <w:p>
            <w:pPr>
              <w:pStyle w:val="Compact"/>
            </w:pPr>
            <w:r>
              <w:t xml:space="preserve">CNB</w:t>
            </w:r>
          </w:p>
        </w:tc>
        <w:tc>
          <w:tcPr/>
          <w:p>
            <w:pPr>
              <w:pStyle w:val="Compact"/>
            </w:pPr>
            <w:r>
              <w:t xml:space="preserve">19.0</w:t>
            </w:r>
          </w:p>
        </w:tc>
        <w:tc>
          <w:tcPr/>
          <w:p>
            <w:pPr>
              <w:pStyle w:val="Compact"/>
            </w:pPr>
            <w:r>
              <w:t xml:space="preserve">1.2</w:t>
            </w:r>
          </w:p>
        </w:tc>
      </w:tr>
      <w:tr>
        <w:tc>
          <w:tcPr/>
          <w:p>
            <w:pPr>
              <w:pStyle w:val="Compact"/>
            </w:pPr>
            <w:r>
              <w:t xml:space="preserve">Choi_MJ</w:t>
            </w:r>
          </w:p>
        </w:tc>
        <w:tc>
          <w:tcPr/>
          <w:p>
            <w:pPr>
              <w:pStyle w:val="Compact"/>
            </w:pPr>
            <w:r>
              <w:t xml:space="preserve">2012</w:t>
            </w:r>
          </w:p>
        </w:tc>
        <w:tc>
          <w:tcPr/>
          <w:p>
            <w:pPr>
              <w:pStyle w:val="Compact"/>
            </w:pPr>
            <w:r>
              <w:t xml:space="preserve">Korea</w:t>
            </w:r>
          </w:p>
        </w:tc>
        <w:tc>
          <w:tcPr/>
          <w:p>
            <w:pPr>
              <w:pStyle w:val="Compact"/>
            </w:pPr>
            <w:r>
              <w:t xml:space="preserve">99</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16.2</w:t>
            </w:r>
          </w:p>
        </w:tc>
        <w:tc>
          <w:tcPr/>
          <w:p>
            <w:pPr>
              <w:pStyle w:val="Compact"/>
            </w:pPr>
            <w:r>
              <w:t xml:space="preserve">2.0</w:t>
            </w:r>
          </w:p>
        </w:tc>
      </w:tr>
      <w:tr>
        <w:tc>
          <w:tcPr/>
          <w:p>
            <w:pPr>
              <w:pStyle w:val="Compact"/>
            </w:pPr>
            <w:r>
              <w:t xml:space="preserve">Lee_WJ</w:t>
            </w:r>
          </w:p>
        </w:tc>
        <w:tc>
          <w:tcPr/>
          <w:p>
            <w:pPr>
              <w:pStyle w:val="Compact"/>
            </w:pPr>
            <w:r>
              <w:t xml:space="preserve">2012</w:t>
            </w:r>
          </w:p>
        </w:tc>
        <w:tc>
          <w:tcPr/>
          <w:p>
            <w:pPr>
              <w:pStyle w:val="Compact"/>
            </w:pPr>
            <w:r>
              <w:t xml:space="preserve">Korea</w:t>
            </w:r>
          </w:p>
        </w:tc>
        <w:tc>
          <w:tcPr/>
          <w:p>
            <w:pPr>
              <w:pStyle w:val="Compact"/>
            </w:pPr>
            <w:r>
              <w:t xml:space="preserve">94</w:t>
            </w:r>
          </w:p>
        </w:tc>
        <w:tc>
          <w:tcPr/>
          <w:p>
            <w:pPr>
              <w:pStyle w:val="Compact"/>
            </w:pPr>
            <w:r>
              <w:t xml:space="preserve">R</w:t>
            </w:r>
          </w:p>
        </w:tc>
        <w:tc>
          <w:tcPr/>
          <w:p>
            <w:pPr>
              <w:pStyle w:val="Compact"/>
            </w:pPr>
            <w:r>
              <w:t xml:space="preserve">Siemens</w:t>
            </w:r>
          </w:p>
        </w:tc>
        <w:tc>
          <w:tcPr/>
          <w:p>
            <w:pPr>
              <w:pStyle w:val="Compact"/>
            </w:pPr>
            <w:r>
              <w:t xml:space="preserve">FNA</w:t>
            </w:r>
          </w:p>
        </w:tc>
        <w:tc>
          <w:tcPr/>
          <w:p>
            <w:pPr>
              <w:pStyle w:val="Compact"/>
            </w:pPr>
            <w:r>
              <w:t xml:space="preserve">25.5</w:t>
            </w:r>
          </w:p>
        </w:tc>
        <w:tc>
          <w:tcPr/>
          <w:p>
            <w:pPr>
              <w:pStyle w:val="Compact"/>
            </w:pPr>
            <w:r>
              <w:rPr>
                <w:b/>
                <w:bCs/>
              </w:rPr>
              <w:t xml:space="preserve">45.7</w:t>
            </w:r>
          </w:p>
        </w:tc>
      </w:tr>
      <w:tr>
        <w:tc>
          <w:tcPr/>
          <w:p>
            <w:pPr>
              <w:pStyle w:val="Compact"/>
            </w:pPr>
            <w:r>
              <w:t xml:space="preserve">Floridi</w:t>
            </w:r>
          </w:p>
        </w:tc>
        <w:tc>
          <w:tcPr/>
          <w:p>
            <w:pPr>
              <w:pStyle w:val="Compact"/>
            </w:pPr>
            <w:r>
              <w:t xml:space="preserve">2014</w:t>
            </w:r>
          </w:p>
        </w:tc>
        <w:tc>
          <w:tcPr/>
          <w:p>
            <w:pPr>
              <w:pStyle w:val="Compact"/>
            </w:pPr>
            <w:r>
              <w:t xml:space="preserve">Italy</w:t>
            </w:r>
          </w:p>
        </w:tc>
        <w:tc>
          <w:tcPr/>
          <w:p>
            <w:pPr>
              <w:pStyle w:val="Compact"/>
            </w:pPr>
            <w:r>
              <w:t xml:space="preserve">95</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21.0</w:t>
            </w:r>
          </w:p>
        </w:tc>
        <w:tc>
          <w:tcPr/>
          <w:p>
            <w:pPr>
              <w:pStyle w:val="Compact"/>
            </w:pPr>
            <w:r>
              <w:t xml:space="preserve">NR</w:t>
            </w:r>
          </w:p>
        </w:tc>
      </w:tr>
      <w:tr>
        <w:tc>
          <w:tcPr/>
          <w:p>
            <w:pPr>
              <w:pStyle w:val="Compact"/>
            </w:pPr>
            <w:r>
              <w:t xml:space="preserve">Lee</w:t>
            </w:r>
          </w:p>
        </w:tc>
        <w:tc>
          <w:tcPr/>
          <w:p>
            <w:pPr>
              <w:pStyle w:val="Compact"/>
            </w:pPr>
            <w:r>
              <w:t xml:space="preserve">2014</w:t>
            </w:r>
          </w:p>
        </w:tc>
        <w:tc>
          <w:tcPr/>
          <w:p>
            <w:pPr>
              <w:pStyle w:val="Compact"/>
            </w:pPr>
            <w:r>
              <w:t xml:space="preserve">Korea</w:t>
            </w:r>
          </w:p>
        </w:tc>
        <w:tc>
          <w:tcPr/>
          <w:p>
            <w:pPr>
              <w:pStyle w:val="Compact"/>
            </w:pPr>
            <w:r>
              <w:t xml:space="preserve">1,089</w:t>
            </w:r>
          </w:p>
        </w:tc>
        <w:tc>
          <w:tcPr/>
          <w:p>
            <w:pPr>
              <w:pStyle w:val="Compact"/>
            </w:pPr>
            <w:r>
              <w:t xml:space="preserve">R</w:t>
            </w:r>
          </w:p>
        </w:tc>
        <w:tc>
          <w:tcPr/>
          <w:p>
            <w:pPr>
              <w:pStyle w:val="Compact"/>
            </w:pPr>
            <w:r>
              <w:t xml:space="preserve">Both</w:t>
            </w:r>
          </w:p>
        </w:tc>
        <w:tc>
          <w:tcPr/>
          <w:p>
            <w:pPr>
              <w:pStyle w:val="Compact"/>
            </w:pPr>
            <w:r>
              <w:t xml:space="preserve">CNB</w:t>
            </w:r>
          </w:p>
        </w:tc>
        <w:tc>
          <w:tcPr/>
          <w:p>
            <w:pPr>
              <w:pStyle w:val="Compact"/>
            </w:pPr>
            <w:r>
              <w:t xml:space="preserve">17.0</w:t>
            </w:r>
          </w:p>
        </w:tc>
        <w:tc>
          <w:tcPr/>
          <w:p>
            <w:pPr>
              <w:pStyle w:val="Compact"/>
            </w:pPr>
            <w:r>
              <w:t xml:space="preserve">6.9</w:t>
            </w:r>
          </w:p>
        </w:tc>
      </w:tr>
      <w:tr>
        <w:tc>
          <w:tcPr/>
          <w:p>
            <w:pPr>
              <w:pStyle w:val="Compact"/>
            </w:pPr>
            <w:r>
              <w:t xml:space="preserve">Cheng</w:t>
            </w:r>
          </w:p>
        </w:tc>
        <w:tc>
          <w:tcPr/>
          <w:p>
            <w:pPr>
              <w:pStyle w:val="Compact"/>
            </w:pPr>
            <w:r>
              <w:t xml:space="preserve">2015</w:t>
            </w:r>
          </w:p>
        </w:tc>
        <w:tc>
          <w:tcPr/>
          <w:p>
            <w:pPr>
              <w:pStyle w:val="Compact"/>
            </w:pPr>
            <w:r>
              <w:t xml:space="preserve">Taiwan</w:t>
            </w:r>
          </w:p>
        </w:tc>
        <w:tc>
          <w:tcPr/>
          <w:p>
            <w:pPr>
              <w:pStyle w:val="Compact"/>
            </w:pPr>
            <w:r>
              <w:t xml:space="preserve">35</w:t>
            </w:r>
          </w:p>
        </w:tc>
        <w:tc>
          <w:tcPr/>
          <w:p>
            <w:pPr>
              <w:pStyle w:val="Compact"/>
            </w:pPr>
            <w:r>
              <w:t xml:space="preserve">R</w:t>
            </w:r>
          </w:p>
        </w:tc>
        <w:tc>
          <w:tcPr/>
          <w:p>
            <w:pPr>
              <w:pStyle w:val="Compact"/>
            </w:pPr>
            <w:r>
              <w:t xml:space="preserve">Philips</w:t>
            </w:r>
          </w:p>
        </w:tc>
        <w:tc>
          <w:tcPr/>
          <w:p>
            <w:pPr>
              <w:pStyle w:val="Compact"/>
            </w:pPr>
            <w:r>
              <w:t xml:space="preserve">CNB</w:t>
            </w:r>
          </w:p>
        </w:tc>
        <w:tc>
          <w:tcPr/>
          <w:p>
            <w:pPr>
              <w:pStyle w:val="Compact"/>
            </w:pPr>
            <w:r>
              <w:t xml:space="preserve">20.0</w:t>
            </w:r>
          </w:p>
        </w:tc>
        <w:tc>
          <w:tcPr/>
          <w:p>
            <w:pPr>
              <w:pStyle w:val="Compact"/>
            </w:pPr>
            <w:r>
              <w:t xml:space="preserve">11.4</w:t>
            </w:r>
          </w:p>
        </w:tc>
      </w:tr>
      <w:tr>
        <w:tc>
          <w:tcPr/>
          <w:p>
            <w:pPr>
              <w:pStyle w:val="Compact"/>
            </w:pPr>
            <w:r>
              <w:t xml:space="preserve">Jiao</w:t>
            </w:r>
          </w:p>
        </w:tc>
        <w:tc>
          <w:tcPr/>
          <w:p>
            <w:pPr>
              <w:pStyle w:val="Compact"/>
            </w:pPr>
            <w:r>
              <w:t xml:space="preserve">2016</w:t>
            </w:r>
          </w:p>
        </w:tc>
        <w:tc>
          <w:tcPr/>
          <w:p>
            <w:pPr>
              <w:pStyle w:val="Compact"/>
            </w:pPr>
            <w:r>
              <w:t xml:space="preserve">China</w:t>
            </w:r>
          </w:p>
        </w:tc>
        <w:tc>
          <w:tcPr/>
          <w:p>
            <w:pPr>
              <w:pStyle w:val="Compact"/>
            </w:pPr>
            <w:r>
              <w:t xml:space="preserve">99</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10.0</w:t>
            </w:r>
          </w:p>
        </w:tc>
        <w:tc>
          <w:tcPr/>
          <w:p>
            <w:pPr>
              <w:pStyle w:val="Compact"/>
            </w:pPr>
            <w:r>
              <w:t xml:space="preserve">12.0</w:t>
            </w:r>
          </w:p>
        </w:tc>
      </w:tr>
      <w:tr>
        <w:tc>
          <w:tcPr/>
          <w:p>
            <w:pPr>
              <w:pStyle w:val="Compact"/>
            </w:pPr>
            <w:r>
              <w:t xml:space="preserve">Rotolo</w:t>
            </w:r>
          </w:p>
        </w:tc>
        <w:tc>
          <w:tcPr/>
          <w:p>
            <w:pPr>
              <w:pStyle w:val="Compact"/>
            </w:pPr>
            <w:r>
              <w:t xml:space="preserve">2016</w:t>
            </w:r>
          </w:p>
        </w:tc>
        <w:tc>
          <w:tcPr/>
          <w:p>
            <w:pPr>
              <w:pStyle w:val="Compact"/>
            </w:pPr>
            <w:r>
              <w:t xml:space="preserve">Italy</w:t>
            </w:r>
          </w:p>
        </w:tc>
        <w:tc>
          <w:tcPr/>
          <w:p>
            <w:pPr>
              <w:pStyle w:val="Compact"/>
            </w:pPr>
            <w:r>
              <w:t xml:space="preserve">103</w:t>
            </w:r>
          </w:p>
        </w:tc>
        <w:tc>
          <w:tcPr/>
          <w:p>
            <w:pPr>
              <w:pStyle w:val="Compact"/>
            </w:pPr>
            <w:r>
              <w:t xml:space="preserve">R</w:t>
            </w:r>
          </w:p>
        </w:tc>
        <w:tc>
          <w:tcPr/>
          <w:p>
            <w:pPr>
              <w:pStyle w:val="Compact"/>
            </w:pPr>
            <w:r>
              <w:t xml:space="preserve">Philips</w:t>
            </w:r>
          </w:p>
        </w:tc>
        <w:tc>
          <w:tcPr/>
          <w:p>
            <w:pPr>
              <w:pStyle w:val="Compact"/>
            </w:pPr>
            <w:r>
              <w:t xml:space="preserve">CNB</w:t>
            </w:r>
          </w:p>
        </w:tc>
        <w:tc>
          <w:tcPr/>
          <w:p>
            <w:pPr>
              <w:pStyle w:val="Compact"/>
            </w:pPr>
            <w:r>
              <w:t xml:space="preserve">29.3</w:t>
            </w:r>
          </w:p>
        </w:tc>
        <w:tc>
          <w:tcPr/>
          <w:p>
            <w:pPr>
              <w:pStyle w:val="Compact"/>
            </w:pPr>
            <w:r>
              <w:t xml:space="preserve">21.9</w:t>
            </w:r>
          </w:p>
        </w:tc>
      </w:tr>
      <w:tr>
        <w:tc>
          <w:tcPr/>
          <w:p>
            <w:pPr>
              <w:pStyle w:val="Compact"/>
            </w:pPr>
            <w:r>
              <w:t xml:space="preserve">Lee_Y</w:t>
            </w:r>
          </w:p>
        </w:tc>
        <w:tc>
          <w:tcPr/>
          <w:p>
            <w:pPr>
              <w:pStyle w:val="Compact"/>
            </w:pPr>
            <w:r>
              <w:t xml:space="preserve">2018</w:t>
            </w:r>
          </w:p>
        </w:tc>
        <w:tc>
          <w:tcPr/>
          <w:p>
            <w:pPr>
              <w:pStyle w:val="Compact"/>
            </w:pPr>
            <w:r>
              <w:t xml:space="preserve">Korea</w:t>
            </w:r>
          </w:p>
        </w:tc>
        <w:tc>
          <w:tcPr/>
          <w:p>
            <w:pPr>
              <w:pStyle w:val="Compact"/>
            </w:pPr>
            <w:r>
              <w:t xml:space="preserve">268</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16.7</w:t>
            </w:r>
          </w:p>
        </w:tc>
        <w:tc>
          <w:tcPr/>
          <w:p>
            <w:pPr>
              <w:pStyle w:val="Compact"/>
            </w:pPr>
            <w:r>
              <w:t xml:space="preserve">6.0</w:t>
            </w:r>
          </w:p>
        </w:tc>
      </w:tr>
      <w:tr>
        <w:tc>
          <w:tcPr/>
          <w:p>
            <w:pPr>
              <w:pStyle w:val="Compact"/>
            </w:pPr>
            <w:r>
              <w:t xml:space="preserve">Fior</w:t>
            </w:r>
          </w:p>
        </w:tc>
        <w:tc>
          <w:tcPr/>
          <w:p>
            <w:pPr>
              <w:pStyle w:val="Compact"/>
            </w:pPr>
            <w:r>
              <w:t xml:space="preserve">2019</w:t>
            </w:r>
          </w:p>
        </w:tc>
        <w:tc>
          <w:tcPr/>
          <w:p>
            <w:pPr>
              <w:pStyle w:val="Compact"/>
            </w:pPr>
            <w:r>
              <w:t xml:space="preserve">Italy</w:t>
            </w:r>
          </w:p>
        </w:tc>
        <w:tc>
          <w:tcPr/>
          <w:p>
            <w:pPr>
              <w:pStyle w:val="Compact"/>
            </w:pPr>
            <w:r>
              <w:t xml:space="preserve">375</w:t>
            </w:r>
          </w:p>
        </w:tc>
        <w:tc>
          <w:tcPr/>
          <w:p>
            <w:pPr>
              <w:pStyle w:val="Compact"/>
            </w:pPr>
            <w:r>
              <w:t xml:space="preserve">R</w:t>
            </w:r>
          </w:p>
        </w:tc>
        <w:tc>
          <w:tcPr/>
          <w:p>
            <w:pPr>
              <w:pStyle w:val="Compact"/>
            </w:pPr>
            <w:r>
              <w:t xml:space="preserve">Philips</w:t>
            </w:r>
          </w:p>
        </w:tc>
        <w:tc>
          <w:tcPr/>
          <w:p>
            <w:pPr>
              <w:pStyle w:val="Compact"/>
            </w:pPr>
            <w:r>
              <w:t xml:space="preserve">CNB</w:t>
            </w:r>
          </w:p>
        </w:tc>
        <w:tc>
          <w:tcPr/>
          <w:p>
            <w:pPr>
              <w:pStyle w:val="Compact"/>
            </w:pPr>
            <w:r>
              <w:t xml:space="preserve">15.2</w:t>
            </w:r>
          </w:p>
        </w:tc>
        <w:tc>
          <w:tcPr/>
          <w:p>
            <w:pPr>
              <w:pStyle w:val="Compact"/>
            </w:pPr>
            <w:r>
              <w:t xml:space="preserve">10.9</w:t>
            </w:r>
          </w:p>
        </w:tc>
      </w:tr>
      <w:tr>
        <w:tc>
          <w:tcPr/>
          <w:p>
            <w:pPr>
              <w:pStyle w:val="Compact"/>
            </w:pPr>
            <w:r>
              <w:t xml:space="preserve">Akkakrisee</w:t>
            </w:r>
          </w:p>
        </w:tc>
        <w:tc>
          <w:tcPr/>
          <w:p>
            <w:pPr>
              <w:pStyle w:val="Compact"/>
            </w:pPr>
            <w:r>
              <w:t xml:space="preserve">2020</w:t>
            </w:r>
          </w:p>
        </w:tc>
        <w:tc>
          <w:tcPr/>
          <w:p>
            <w:pPr>
              <w:pStyle w:val="Compact"/>
            </w:pPr>
            <w:r>
              <w:t xml:space="preserve">Thailand</w:t>
            </w:r>
          </w:p>
        </w:tc>
        <w:tc>
          <w:tcPr/>
          <w:p>
            <w:pPr>
              <w:pStyle w:val="Compact"/>
            </w:pPr>
            <w:r>
              <w:t xml:space="preserve">100</w:t>
            </w:r>
          </w:p>
        </w:tc>
        <w:tc>
          <w:tcPr/>
          <w:p>
            <w:pPr>
              <w:pStyle w:val="Compact"/>
            </w:pPr>
            <w:r>
              <w:t xml:space="preserve">R</w:t>
            </w:r>
          </w:p>
        </w:tc>
        <w:tc>
          <w:tcPr/>
          <w:p>
            <w:pPr>
              <w:pStyle w:val="Compact"/>
            </w:pPr>
            <w:r>
              <w:t xml:space="preserve">Philips</w:t>
            </w:r>
          </w:p>
        </w:tc>
        <w:tc>
          <w:tcPr/>
          <w:p>
            <w:pPr>
              <w:pStyle w:val="Compact"/>
            </w:pPr>
            <w:r>
              <w:t xml:space="preserve">CNB</w:t>
            </w:r>
          </w:p>
        </w:tc>
        <w:tc>
          <w:tcPr/>
          <w:p>
            <w:pPr>
              <w:pStyle w:val="Compact"/>
            </w:pPr>
            <w:r>
              <w:t xml:space="preserve">28.0</w:t>
            </w:r>
          </w:p>
        </w:tc>
        <w:tc>
          <w:tcPr/>
          <w:p>
            <w:pPr>
              <w:pStyle w:val="Compact"/>
            </w:pPr>
            <w:r>
              <w:t xml:space="preserve">NR</w:t>
            </w:r>
          </w:p>
        </w:tc>
      </w:tr>
      <w:tr>
        <w:tc>
          <w:tcPr/>
          <w:p>
            <w:pPr>
              <w:pStyle w:val="Compact"/>
            </w:pPr>
            <w:r>
              <w:t xml:space="preserve">Gulias-Soidan</w:t>
            </w:r>
          </w:p>
        </w:tc>
        <w:tc>
          <w:tcPr/>
          <w:p>
            <w:pPr>
              <w:pStyle w:val="Compact"/>
            </w:pPr>
            <w:r>
              <w:t xml:space="preserve">2020</w:t>
            </w:r>
          </w:p>
        </w:tc>
        <w:tc>
          <w:tcPr/>
          <w:p>
            <w:pPr>
              <w:pStyle w:val="Compact"/>
            </w:pPr>
            <w:r>
              <w:t xml:space="preserve">Spain</w:t>
            </w:r>
          </w:p>
        </w:tc>
        <w:tc>
          <w:tcPr/>
          <w:p>
            <w:pPr>
              <w:pStyle w:val="Compact"/>
            </w:pPr>
            <w:r>
              <w:t xml:space="preserve">98</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rPr>
                <w:b/>
                <w:bCs/>
              </w:rPr>
              <w:t xml:space="preserve">38.8</w:t>
            </w:r>
          </w:p>
        </w:tc>
        <w:tc>
          <w:tcPr/>
          <w:p>
            <w:pPr>
              <w:pStyle w:val="Compact"/>
            </w:pPr>
            <w:r>
              <w:t xml:space="preserve">2.0</w:t>
            </w:r>
          </w:p>
        </w:tc>
      </w:tr>
      <w:tr>
        <w:tc>
          <w:tcPr/>
          <w:p>
            <w:pPr>
              <w:pStyle w:val="Compact"/>
            </w:pPr>
            <w:r>
              <w:t xml:space="preserve">Fontana</w:t>
            </w:r>
          </w:p>
        </w:tc>
        <w:tc>
          <w:tcPr/>
          <w:p>
            <w:pPr>
              <w:pStyle w:val="Compact"/>
            </w:pPr>
            <w:r>
              <w:t xml:space="preserve">2021</w:t>
            </w:r>
          </w:p>
        </w:tc>
        <w:tc>
          <w:tcPr/>
          <w:p>
            <w:pPr>
              <w:pStyle w:val="Compact"/>
            </w:pPr>
            <w:r>
              <w:t xml:space="preserve">Italy</w:t>
            </w:r>
          </w:p>
        </w:tc>
        <w:tc>
          <w:tcPr/>
          <w:p>
            <w:pPr>
              <w:pStyle w:val="Compact"/>
            </w:pPr>
            <w:r>
              <w:t xml:space="preserve">84</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10.7</w:t>
            </w:r>
          </w:p>
        </w:tc>
        <w:tc>
          <w:tcPr/>
          <w:p>
            <w:pPr>
              <w:pStyle w:val="Compact"/>
            </w:pPr>
            <w:r>
              <w:t xml:space="preserve">0.0</w:t>
            </w:r>
          </w:p>
        </w:tc>
      </w:tr>
      <w:tr>
        <w:tc>
          <w:tcPr/>
          <w:p>
            <w:pPr>
              <w:pStyle w:val="Compact"/>
            </w:pPr>
            <w:r>
              <w:t xml:space="preserve">Han</w:t>
            </w:r>
          </w:p>
        </w:tc>
        <w:tc>
          <w:tcPr/>
          <w:p>
            <w:pPr>
              <w:pStyle w:val="Compact"/>
            </w:pPr>
            <w:r>
              <w:t xml:space="preserve">2022</w:t>
            </w:r>
          </w:p>
        </w:tc>
        <w:tc>
          <w:tcPr/>
          <w:p>
            <w:pPr>
              <w:pStyle w:val="Compact"/>
            </w:pPr>
            <w:r>
              <w:t xml:space="preserve">Korea</w:t>
            </w:r>
          </w:p>
        </w:tc>
        <w:tc>
          <w:tcPr/>
          <w:p>
            <w:pPr>
              <w:pStyle w:val="Compact"/>
            </w:pPr>
            <w:r>
              <w:t xml:space="preserve">122</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27.0</w:t>
            </w:r>
          </w:p>
        </w:tc>
        <w:tc>
          <w:tcPr/>
          <w:p>
            <w:pPr>
              <w:pStyle w:val="Compact"/>
            </w:pPr>
            <w:r>
              <w:t xml:space="preserve">4.9</w:t>
            </w:r>
          </w:p>
        </w:tc>
      </w:tr>
      <w:tr>
        <w:tc>
          <w:tcPr/>
          <w:p>
            <w:pPr>
              <w:pStyle w:val="Compact"/>
            </w:pPr>
            <w:r>
              <w:t xml:space="preserve">Ren</w:t>
            </w:r>
          </w:p>
        </w:tc>
        <w:tc>
          <w:tcPr/>
          <w:p>
            <w:pPr>
              <w:pStyle w:val="Compact"/>
            </w:pPr>
            <w:r>
              <w:t xml:space="preserve">2022</w:t>
            </w:r>
          </w:p>
        </w:tc>
        <w:tc>
          <w:tcPr/>
          <w:p>
            <w:pPr>
              <w:pStyle w:val="Compact"/>
            </w:pPr>
            <w:r>
              <w:t xml:space="preserve">China</w:t>
            </w:r>
          </w:p>
        </w:tc>
        <w:tc>
          <w:tcPr/>
          <w:p>
            <w:pPr>
              <w:pStyle w:val="Compact"/>
            </w:pPr>
            <w:r>
              <w:t xml:space="preserve">137</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23.2</w:t>
            </w:r>
          </w:p>
        </w:tc>
        <w:tc>
          <w:tcPr/>
          <w:p>
            <w:pPr>
              <w:pStyle w:val="Compact"/>
            </w:pPr>
            <w:r>
              <w:t xml:space="preserve">11.9</w:t>
            </w:r>
          </w:p>
        </w:tc>
      </w:tr>
      <w:tr>
        <w:tc>
          <w:tcPr/>
          <w:p>
            <w:pPr>
              <w:pStyle w:val="Compact"/>
            </w:pPr>
            <w:r>
              <w:t xml:space="preserve">Yang_L</w:t>
            </w:r>
          </w:p>
        </w:tc>
        <w:tc>
          <w:tcPr/>
          <w:p>
            <w:pPr>
              <w:pStyle w:val="Compact"/>
            </w:pPr>
            <w:r>
              <w:t xml:space="preserve">2022</w:t>
            </w:r>
          </w:p>
        </w:tc>
        <w:tc>
          <w:tcPr/>
          <w:p>
            <w:pPr>
              <w:pStyle w:val="Compact"/>
            </w:pPr>
            <w:r>
              <w:t xml:space="preserve">China</w:t>
            </w:r>
          </w:p>
        </w:tc>
        <w:tc>
          <w:tcPr/>
          <w:p>
            <w:pPr>
              <w:pStyle w:val="Compact"/>
            </w:pPr>
            <w:r>
              <w:t xml:space="preserve">135</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11.9</w:t>
            </w:r>
          </w:p>
        </w:tc>
        <w:tc>
          <w:tcPr/>
          <w:p>
            <w:pPr>
              <w:pStyle w:val="Compact"/>
            </w:pPr>
            <w:r>
              <w:t xml:space="preserve">16.3</w:t>
            </w:r>
          </w:p>
        </w:tc>
      </w:tr>
      <w:tr>
        <w:tc>
          <w:tcPr/>
          <w:p>
            <w:pPr>
              <w:pStyle w:val="Compact"/>
            </w:pPr>
            <w:r>
              <w:t xml:space="preserve">Cho</w:t>
            </w:r>
          </w:p>
        </w:tc>
        <w:tc>
          <w:tcPr/>
          <w:p>
            <w:pPr>
              <w:pStyle w:val="Compact"/>
            </w:pPr>
            <w:r>
              <w:t xml:space="preserve">2024</w:t>
            </w:r>
          </w:p>
        </w:tc>
        <w:tc>
          <w:tcPr/>
          <w:p>
            <w:pPr>
              <w:pStyle w:val="Compact"/>
            </w:pPr>
            <w:r>
              <w:t xml:space="preserve">Korea</w:t>
            </w:r>
          </w:p>
        </w:tc>
        <w:tc>
          <w:tcPr/>
          <w:p>
            <w:pPr>
              <w:pStyle w:val="Compact"/>
            </w:pPr>
            <w:r>
              <w:t xml:space="preserve">245</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7.8</w:t>
            </w:r>
          </w:p>
        </w:tc>
        <w:tc>
          <w:tcPr/>
          <w:p>
            <w:pPr>
              <w:pStyle w:val="Compact"/>
            </w:pPr>
            <w:r>
              <w:t xml:space="preserve">2.7</w:t>
            </w:r>
          </w:p>
        </w:tc>
      </w:tr>
      <w:tr>
        <w:tc>
          <w:tcPr/>
          <w:p>
            <w:pPr>
              <w:pStyle w:val="Compact"/>
            </w:pPr>
            <w:r>
              <w:t xml:space="preserve">Zou</w:t>
            </w:r>
          </w:p>
        </w:tc>
        <w:tc>
          <w:tcPr/>
          <w:p>
            <w:pPr>
              <w:pStyle w:val="Compact"/>
            </w:pPr>
            <w:r>
              <w:t xml:space="preserve">2024</w:t>
            </w:r>
          </w:p>
        </w:tc>
        <w:tc>
          <w:tcPr/>
          <w:p>
            <w:pPr>
              <w:pStyle w:val="Compact"/>
            </w:pPr>
            <w:r>
              <w:t xml:space="preserve">China</w:t>
            </w:r>
          </w:p>
        </w:tc>
        <w:tc>
          <w:tcPr/>
          <w:p>
            <w:pPr>
              <w:pStyle w:val="Compact"/>
            </w:pPr>
            <w:r>
              <w:t xml:space="preserve">161</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18.9</w:t>
            </w:r>
          </w:p>
        </w:tc>
        <w:tc>
          <w:tcPr/>
          <w:p>
            <w:pPr>
              <w:pStyle w:val="Compact"/>
            </w:pPr>
            <w:r>
              <w:t xml:space="preserve">23.9</w:t>
            </w:r>
          </w:p>
        </w:tc>
      </w:tr>
      <w:tr>
        <w:tc>
          <w:tcPr/>
          <w:p>
            <w:pPr>
              <w:pStyle w:val="Compact"/>
            </w:pPr>
            <w:r>
              <w:t xml:space="preserve">Chen</w:t>
            </w:r>
          </w:p>
        </w:tc>
        <w:tc>
          <w:tcPr/>
          <w:p>
            <w:pPr>
              <w:pStyle w:val="Compact"/>
            </w:pPr>
            <w:r>
              <w:t xml:space="preserve">2026</w:t>
            </w:r>
          </w:p>
        </w:tc>
        <w:tc>
          <w:tcPr/>
          <w:p>
            <w:pPr>
              <w:pStyle w:val="Compact"/>
            </w:pPr>
            <w:r>
              <w:t xml:space="preserve">Taiwan</w:t>
            </w:r>
          </w:p>
        </w:tc>
        <w:tc>
          <w:tcPr/>
          <w:p>
            <w:pPr>
              <w:pStyle w:val="Compact"/>
            </w:pPr>
            <w:r>
              <w:t xml:space="preserve">77</w:t>
            </w:r>
          </w:p>
        </w:tc>
        <w:tc>
          <w:tcPr/>
          <w:p>
            <w:pPr>
              <w:pStyle w:val="Compact"/>
            </w:pPr>
            <w:r>
              <w:t xml:space="preserve">P</w:t>
            </w:r>
          </w:p>
        </w:tc>
        <w:tc>
          <w:tcPr/>
          <w:p>
            <w:pPr>
              <w:pStyle w:val="Compact"/>
            </w:pPr>
            <w:r>
              <w:t xml:space="preserve">Philips</w:t>
            </w:r>
          </w:p>
        </w:tc>
        <w:tc>
          <w:tcPr/>
          <w:p>
            <w:pPr>
              <w:pStyle w:val="Compact"/>
            </w:pPr>
            <w:r>
              <w:t xml:space="preserve">CNB</w:t>
            </w:r>
          </w:p>
        </w:tc>
        <w:tc>
          <w:tcPr/>
          <w:p>
            <w:pPr>
              <w:pStyle w:val="Compact"/>
            </w:pPr>
            <w:r>
              <w:t xml:space="preserve">10.4</w:t>
            </w:r>
          </w:p>
        </w:tc>
        <w:tc>
          <w:tcPr/>
          <w:p>
            <w:pPr>
              <w:pStyle w:val="Compact"/>
            </w:pPr>
            <w:r>
              <w:t xml:space="preserve">1.3</w:t>
            </w:r>
          </w:p>
        </w:tc>
      </w:tr>
      <w:tr>
        <w:tc>
          <w:tcPr/>
          <w:p>
            <w:pPr>
              <w:pStyle w:val="Compact"/>
            </w:pPr>
            <w:r>
              <w:t xml:space="preserve">Yuan</w:t>
            </w:r>
          </w:p>
        </w:tc>
        <w:tc>
          <w:tcPr/>
          <w:p>
            <w:pPr>
              <w:pStyle w:val="Compact"/>
            </w:pPr>
            <w:r>
              <w:t xml:space="preserve">2026</w:t>
            </w:r>
          </w:p>
        </w:tc>
        <w:tc>
          <w:tcPr/>
          <w:p>
            <w:pPr>
              <w:pStyle w:val="Compact"/>
            </w:pPr>
            <w:r>
              <w:t xml:space="preserve">China</w:t>
            </w:r>
          </w:p>
        </w:tc>
        <w:tc>
          <w:tcPr/>
          <w:p>
            <w:pPr>
              <w:pStyle w:val="Compact"/>
            </w:pPr>
            <w:r>
              <w:t xml:space="preserve">81</w:t>
            </w:r>
          </w:p>
        </w:tc>
        <w:tc>
          <w:tcPr/>
          <w:p>
            <w:pPr>
              <w:pStyle w:val="Compact"/>
            </w:pPr>
            <w:r>
              <w:t xml:space="preserve">R</w:t>
            </w:r>
          </w:p>
        </w:tc>
        <w:tc>
          <w:tcPr/>
          <w:p>
            <w:pPr>
              <w:pStyle w:val="Compact"/>
            </w:pPr>
            <w:r>
              <w:t xml:space="preserve">Siemens</w:t>
            </w:r>
          </w:p>
        </w:tc>
        <w:tc>
          <w:tcPr/>
          <w:p>
            <w:pPr>
              <w:pStyle w:val="Compact"/>
            </w:pPr>
            <w:r>
              <w:t xml:space="preserve">CNB</w:t>
            </w:r>
          </w:p>
        </w:tc>
        <w:tc>
          <w:tcPr/>
          <w:p>
            <w:pPr>
              <w:pStyle w:val="Compact"/>
            </w:pPr>
            <w:r>
              <w:t xml:space="preserve">14.8</w:t>
            </w:r>
          </w:p>
        </w:tc>
        <w:tc>
          <w:tcPr/>
          <w:p>
            <w:pPr>
              <w:pStyle w:val="Compact"/>
            </w:pPr>
            <w:r>
              <w:t xml:space="preserve">1.2</w:t>
            </w:r>
          </w:p>
        </w:tc>
      </w:tr>
    </w:tbl>
    <w:p>
      <w:pPr>
        <w:pStyle w:val="BodyText"/>
      </w:pPr>
      <w:r>
        <w:rPr>
          <w:b/>
          <w:bCs/>
        </w:rPr>
        <w:t xml:space="preserve">Outliers.</w:t>
      </w:r>
      <w:r>
        <w:t xml:space="preserve"> </w:t>
      </w:r>
      <w:r>
        <w:t xml:space="preserve">- Pneumothorax upper bound 38.8% — Gulias-Soidan 2020 (n = 98), small benign denominator.</w:t>
      </w:r>
      <w:r>
        <w:t xml:space="preserve"> </w:t>
      </w:r>
      <w:r>
        <w:t xml:space="preserve">- Hemorrhage upper bound</w:t>
      </w:r>
      <w:r>
        <w:t xml:space="preserve"> </w:t>
      </w:r>
      <w:r>
        <w:rPr>
          <w:b/>
          <w:bCs/>
        </w:rPr>
        <w:t xml:space="preserve">45.7%</w:t>
      </w:r>
      <w:r>
        <w:t xml:space="preserve"> </w:t>
      </w:r>
      <w:r>
        <w:t xml:space="preserve">— Lee_WJ 2012 (n = 94),</w:t>
      </w:r>
      <w:r>
        <w:t xml:space="preserve"> </w:t>
      </w:r>
      <w:r>
        <w:rPr>
          <w:b/>
          <w:bCs/>
        </w:rPr>
        <w:t xml:space="preserve">FNA-only cohort</w:t>
      </w:r>
      <w:r>
        <w:t xml:space="preserve">. The authors counted any CBCT-detected perilesional hemorrhagic change rather than restricting to clinically significant hemoptysis, inflating the apparent rate relative to studies that adopted a clinical-outcome definition.</w:t>
      </w:r>
    </w:p>
    <w:p>
      <w:pPr>
        <w:pStyle w:val="BodyText"/>
      </w:pPr>
      <w:r>
        <w:rPr>
          <w:b/>
          <w:bCs/>
        </w:rPr>
        <w:t xml:space="preserve">Missingness.</w:t>
      </w:r>
      <w:r>
        <w:t xml:space="preserve"> </w:t>
      </w:r>
      <w:r>
        <w:t xml:space="preserve">- Hemorrhage not reported in three studies (Cheung 2011, Floridi 2014, Akkakrisee 2020); these studies contribute to the pneumothorax pooled estimate but not the hemorrhage pooled estimate.</w:t>
      </w:r>
      <w:r>
        <w:t xml:space="preserve"> </w:t>
      </w:r>
      <w:r>
        <w:t xml:space="preserve">- Chest-tube insertion rates were too sparsely reported for pooled estimation and are not tabulated here; see Table 1 in the main manuscript.</w:t>
      </w:r>
    </w:p>
    <w:bookmarkEnd w:id="41"/>
    <w:bookmarkStart w:id="46" w:name="X923264e80d90ab401a011350fd7a5c1bd6ba6f8"/>
    <w:p>
      <w:pPr>
        <w:pStyle w:val="Heading1"/>
      </w:pPr>
      <w:r>
        <w:t xml:space="preserve">Supplementary Material 9. Tipping-point sensitivity analysis for specificity under differential verification bias</w:t>
      </w:r>
    </w:p>
    <w:bookmarkStart w:id="42" w:name="motivation"/>
    <w:p>
      <w:pPr>
        <w:pStyle w:val="Heading2"/>
      </w:pPr>
      <w:r>
        <w:t xml:space="preserve">Motivation</w:t>
      </w:r>
    </w:p>
    <w:p>
      <w:pPr>
        <w:pStyle w:val="FirstParagraph"/>
      </w:pPr>
      <w:r>
        <w:t xml:space="preserve">All 22 studies in the primary bivariate meta-analysis verified malignant biopsy results by surgical pathology while benign results were verified by imaging follow-up (six to twenty-four months, commonly twelve months). This differential verification structure (QUADAS-2 Domain 4 high across all studies) systematically inflates specificity: patients whose biopsy is reported benign but who actually harbour a slow-growing malignancy missed on imaging follow-up are misclassified as true negatives.</w:t>
      </w:r>
    </w:p>
    <w:p>
      <w:pPr>
        <w:pStyle w:val="BodyText"/>
      </w:pPr>
      <w:r>
        <w:t xml:space="preserve">A quantitative sensitivity (tipping-point) analysis was performed to bound the magnitude of this bias.</w:t>
      </w:r>
    </w:p>
    <w:bookmarkEnd w:id="42"/>
    <w:bookmarkStart w:id="43" w:name="model"/>
    <w:p>
      <w:pPr>
        <w:pStyle w:val="Heading2"/>
      </w:pPr>
      <w:r>
        <w:t xml:space="preserve">Model</w:t>
      </w:r>
    </w:p>
    <w:p>
      <w:pPr>
        <w:pStyle w:val="FirstParagraph"/>
      </w:pPr>
      <w:r>
        <w:t xml:space="preserve">Let f denote the hidden missed-malignancy fraction among imaging-follow-up benigns (i.e., among observed TN + FP patients). Under the assumption that misclassified patients are re-allocated from the disease-negative stratum to the disease-positive stratum as false negatives:</w:t>
      </w:r>
    </w:p>
    <w:p>
      <w:pPr>
        <w:pStyle w:val="Compact"/>
        <w:numPr>
          <w:ilvl w:val="0"/>
          <w:numId w:val="1007"/>
        </w:numPr>
      </w:pPr>
      <w:r>
        <w:t xml:space="preserve">New TN = observed TN × (1 − f)</w:t>
      </w:r>
    </w:p>
    <w:p>
      <w:pPr>
        <w:pStyle w:val="Compact"/>
        <w:numPr>
          <w:ilvl w:val="0"/>
          <w:numId w:val="1007"/>
        </w:numPr>
      </w:pPr>
      <w:r>
        <w:t xml:space="preserve">New FN = observed FN + observed TN × f</w:t>
      </w:r>
    </w:p>
    <w:p>
      <w:pPr>
        <w:pStyle w:val="Compact"/>
        <w:numPr>
          <w:ilvl w:val="0"/>
          <w:numId w:val="1007"/>
        </w:numPr>
      </w:pPr>
      <w:r>
        <w:t xml:space="preserve">FP and TP unchanged</w:t>
      </w:r>
    </w:p>
    <w:p>
      <w:pPr>
        <w:pStyle w:val="FirstParagraph"/>
      </w:pPr>
      <w:r>
        <w:t xml:space="preserve">Corrected per-study specificity: Sp_corrected(f) = TN(1 − f) / [TN(1 − f) + FP]</w:t>
      </w:r>
    </w:p>
    <w:p>
      <w:pPr>
        <w:pStyle w:val="BodyText"/>
      </w:pPr>
      <w:r>
        <w:t xml:space="preserve">The bivariate Reitsma model was refit for f ∈ {0, 0.005, 0.010, …, 0.200}, and corrected pooled specificity extracted.</w:t>
      </w:r>
    </w:p>
    <w:bookmarkEnd w:id="43"/>
    <w:bookmarkStart w:id="44" w:name="result"/>
    <w:p>
      <w:pPr>
        <w:pStyle w:val="Heading2"/>
      </w:pPr>
      <w:r>
        <w:t xml:space="preserve">Result</w:t>
      </w:r>
    </w:p>
    <w:p>
      <w:pPr>
        <w:pStyle w:val="FirstParagraph"/>
      </w:pPr>
      <w:r>
        <w:t xml:space="preserve">Corrected pooled specificity remained ≥ 96.1% across the entire range f ∈ [0, 0.20]. The tipping point for corrected specificity falling below a clinical 90% threshold was not reached within this range. This robustness is structural: 19 of 22 studies reported zero false-positive counts, so that the denominator of per-study specificity is dominated by TN and the per-study specificity is near-insensitive to a multiplicative reduction of TN as long as FP remains small.</w:t>
      </w:r>
    </w:p>
    <w:bookmarkEnd w:id="44"/>
    <w:bookmarkStart w:id="45" w:name="interpretation"/>
    <w:p>
      <w:pPr>
        <w:pStyle w:val="Heading2"/>
      </w:pPr>
      <w:r>
        <w:t xml:space="preserve">Interpretation</w:t>
      </w:r>
    </w:p>
    <w:p>
      <w:pPr>
        <w:pStyle w:val="Compact"/>
        <w:numPr>
          <w:ilvl w:val="0"/>
          <w:numId w:val="1008"/>
        </w:numPr>
      </w:pPr>
      <w:r>
        <w:t xml:space="preserve">The observed pooled specificity (96.7%) is a plausible upper bound under universal differential verification.</w:t>
      </w:r>
    </w:p>
    <w:p>
      <w:pPr>
        <w:pStyle w:val="Compact"/>
        <w:numPr>
          <w:ilvl w:val="0"/>
          <w:numId w:val="1008"/>
        </w:numPr>
      </w:pPr>
      <w:r>
        <w:t xml:space="preserve">Across the plausible range of missed-malignancy contamination (0–20%), the corrected pooled specificity remains ≥ 96.1%, i.e., even under a 20% hidden-malignancy contamination — biologically implausible for six- to twenty-four-month CT follow-up of biopsy-negative pulmonary lesions — the specificity does not fall below the 90% clinical-utility threshold.</w:t>
      </w:r>
    </w:p>
    <w:p>
      <w:pPr>
        <w:pStyle w:val="Compact"/>
        <w:numPr>
          <w:ilvl w:val="0"/>
          <w:numId w:val="1008"/>
        </w:numPr>
      </w:pPr>
      <w:r>
        <w:t xml:space="preserve">This analysis does not alter the primary interpretation: specificity is reported as a plausible upper bound, and its order of magnitude is nonetheless preserved under realistic misclassification scenarios.</w:t>
      </w:r>
    </w:p>
    <w:bookmarkEnd w:id="45"/>
    <w:bookmarkEnd w:id="46"/>
    <w:bookmarkStart w:id="51" w:name="X9b234e5f2c11753f8d60d2bd05edd386891a498"/>
    <w:p>
      <w:pPr>
        <w:pStyle w:val="Heading1"/>
      </w:pPr>
      <w:r>
        <w:t xml:space="preserve">Supplementary Material 10. Web of Science access attempt and indirect comprehensiveness assessment</w:t>
      </w:r>
    </w:p>
    <w:p>
      <w:pPr>
        <w:pStyle w:val="FirstParagraph"/>
      </w:pPr>
      <w:r>
        <w:t xml:space="preserve">This file documents (a) the post-hoc Web of Science access attempt and the institutional-access limitation that prevented a direct WoS retrieval, (b) five indirect lines of comprehensiveness evidence supporting the executed PubMed + Embase + Cochrane CENTRAL strategy, and (c) the residual search-comprehensiveness limitation. The Asian literature representation in the included studies (16 of 22 bivariate-eligible studies) makes this assessment particularly relevant.</w:t>
      </w:r>
    </w:p>
    <w:p>
      <w:r>
        <w:pict>
          <v:rect style="width:0;height:1.5pt" o:hralign="center" o:hrstd="t" o:hr="t"/>
        </w:pict>
      </w:r>
    </w:p>
    <w:bookmarkStart w:id="87" w:name="X23ba8fd5bd09cd68c979b7c401b0ee4b9d7a925"/>
    <w:p>
      <w:pPr>
        <w:pStyle w:val="Heading2"/>
      </w:pPr>
      <w:r>
        <w:t xml:space="preserve">Status of post-hoc Web of Science Core Collection check</w:t>
      </w:r>
    </w:p>
    <w:p>
      <w:pPr>
        <w:pStyle w:val="FirstParagraph"/>
      </w:pPr>
      <w:r>
        <w:t xml:space="preserve">A post-hoc Web of Science Core Collection comprehensiveness check was attempted by the review team on 11 May 2026. Institutional access could not be established within the revision window despite attempts via the review team’s affiliated institutions. The review team is therefore unable to report a primary-data WoS retrieval count.</w:t>
      </w:r>
    </w:p>
    <w:p>
      <w:pPr>
        <w:pStyle w:val="BodyText"/>
      </w:pPr>
      <w:r>
        <w:t xml:space="preserve">This is acknowledged as a residual limitation. Several converging lines of indirect evidence nonetheless support the comprehensiveness of the executed PubMed + Embase + Cochrane CENTRAL strategy with respect to the Asian literature segment.</w:t>
      </w:r>
    </w:p>
    <w:bookmarkEnd w:id="87"/>
    <w:bookmarkStart w:id="93" w:name="X91acbabfc5dfed1c4594249ce0ab4c62f027bd6"/>
    <w:p>
      <w:pPr>
        <w:pStyle w:val="Heading2"/>
      </w:pPr>
      <w:r>
        <w:t xml:space="preserve">Lines of indirect comprehensiveness evidence</w:t>
      </w:r>
    </w:p>
    <w:bookmarkStart w:id="88" w:name="X2b8be3c7fdfda406070784e66b1009dbd8c225a"/>
    <w:p>
      <w:pPr>
        <w:pStyle w:val="Heading3"/>
      </w:pPr>
      <w:r>
        <w:t xml:space="preserve">1. PubMed indexes the major Asian radiology and biopsy journals relevant to this review</w:t>
      </w:r>
    </w:p>
    <w:p>
      <w:pPr>
        <w:pStyle w:val="FirstParagraph"/>
      </w:pPr>
      <w:r>
        <w:t xml:space="preserve">Of the 16 Asian-origin included studies, the following journals are directly indexed in MEDLINE/PubMed:</w:t>
      </w:r>
    </w:p>
    <w:p>
      <w:pPr>
        <w:pStyle w:val="Compact"/>
        <w:numPr>
          <w:ilvl w:val="0"/>
          <w:numId w:val="1012"/>
        </w:numPr>
      </w:pPr>
      <w:r>
        <w:rPr>
          <w:i/>
          <w:iCs/>
        </w:rPr>
        <w:t xml:space="preserve">Korean Journal of Radiology</w:t>
      </w:r>
      <w:r>
        <w:t xml:space="preserve"> </w:t>
      </w:r>
      <w:r>
        <w:t xml:space="preserve">(KJR) — Korean radiology flagship; indexed since 2000</w:t>
      </w:r>
    </w:p>
    <w:p>
      <w:pPr>
        <w:pStyle w:val="Compact"/>
        <w:numPr>
          <w:ilvl w:val="0"/>
          <w:numId w:val="1012"/>
        </w:numPr>
      </w:pPr>
      <w:r>
        <w:rPr>
          <w:i/>
          <w:iCs/>
        </w:rPr>
        <w:t xml:space="preserve">Journal of the Korean Medical Science</w:t>
      </w:r>
      <w:r>
        <w:t xml:space="preserve"> </w:t>
      </w:r>
      <w:r>
        <w:t xml:space="preserve">(JKMS) — indexed since 1986</w:t>
      </w:r>
    </w:p>
    <w:p>
      <w:pPr>
        <w:pStyle w:val="Compact"/>
        <w:numPr>
          <w:ilvl w:val="0"/>
          <w:numId w:val="1012"/>
        </w:numPr>
      </w:pPr>
      <w:r>
        <w:rPr>
          <w:i/>
          <w:iCs/>
        </w:rPr>
        <w:t xml:space="preserve">Korean Journal of Internal Medicine</w:t>
      </w:r>
    </w:p>
    <w:p>
      <w:pPr>
        <w:pStyle w:val="Compact"/>
        <w:numPr>
          <w:ilvl w:val="0"/>
          <w:numId w:val="1012"/>
        </w:numPr>
      </w:pPr>
      <w:r>
        <w:rPr>
          <w:i/>
          <w:iCs/>
        </w:rPr>
        <w:t xml:space="preserve">Yonsei Medical Journal</w:t>
      </w:r>
    </w:p>
    <w:p>
      <w:pPr>
        <w:pStyle w:val="Compact"/>
        <w:numPr>
          <w:ilvl w:val="0"/>
          <w:numId w:val="1012"/>
        </w:numPr>
      </w:pPr>
      <w:r>
        <w:rPr>
          <w:i/>
          <w:iCs/>
        </w:rPr>
        <w:t xml:space="preserve">Journal of Thoracic Disease</w:t>
      </w:r>
      <w:r>
        <w:t xml:space="preserve"> </w:t>
      </w:r>
      <w:r>
        <w:t xml:space="preserve">(Chinese-edited, English-language; indexed since 2009)</w:t>
      </w:r>
    </w:p>
    <w:p>
      <w:pPr>
        <w:pStyle w:val="Compact"/>
        <w:numPr>
          <w:ilvl w:val="0"/>
          <w:numId w:val="1012"/>
        </w:numPr>
      </w:pPr>
      <w:r>
        <w:rPr>
          <w:i/>
          <w:iCs/>
        </w:rPr>
        <w:t xml:space="preserve">Chinese Medical Journal</w:t>
      </w:r>
      <w:r>
        <w:t xml:space="preserve"> </w:t>
      </w:r>
      <w:r>
        <w:t xml:space="preserve">(English edition; indexed since 1932)</w:t>
      </w:r>
    </w:p>
    <w:p>
      <w:pPr>
        <w:pStyle w:val="Compact"/>
        <w:numPr>
          <w:ilvl w:val="0"/>
          <w:numId w:val="1012"/>
        </w:numPr>
      </w:pPr>
      <w:r>
        <w:rPr>
          <w:i/>
          <w:iCs/>
        </w:rPr>
        <w:t xml:space="preserve">Chinese Journal of Radiology</w:t>
      </w:r>
      <w:r>
        <w:t xml:space="preserve"> </w:t>
      </w:r>
      <w:r>
        <w:t xml:space="preserve">— partial indexing</w:t>
      </w:r>
    </w:p>
    <w:p>
      <w:pPr>
        <w:pStyle w:val="Compact"/>
        <w:numPr>
          <w:ilvl w:val="0"/>
          <w:numId w:val="1012"/>
        </w:numPr>
      </w:pPr>
      <w:r>
        <w:rPr>
          <w:i/>
          <w:iCs/>
        </w:rPr>
        <w:t xml:space="preserve">European Radiology</w:t>
      </w:r>
      <w:r>
        <w:t xml:space="preserve"> </w:t>
      </w:r>
      <w:r>
        <w:t xml:space="preserve">(publishes a substantial East-Asian author share)</w:t>
      </w:r>
    </w:p>
    <w:p>
      <w:pPr>
        <w:pStyle w:val="FirstParagraph"/>
      </w:pPr>
      <w:r>
        <w:t xml:space="preserve">PubMed retrieval of 224 records included contributions from these journals, and the 22 included studies span Korean (n = 8), Chinese (n = 5), Taiwanese (n = 2), and Thai (n = 1) authorship.</w:t>
      </w:r>
    </w:p>
    <w:bookmarkEnd w:id="88"/>
    <w:bookmarkStart w:id="89" w:name="X0439f38bbcc4018bd6d883fe51abfdadd0f3d57"/>
    <w:p>
      <w:pPr>
        <w:pStyle w:val="Heading3"/>
      </w:pPr>
      <w:r>
        <w:t xml:space="preserve">2. Embase has strong East-Asian conference and grey-literature coverage</w:t>
      </w:r>
    </w:p>
    <w:p>
      <w:pPr>
        <w:pStyle w:val="FirstParagraph"/>
      </w:pPr>
      <w:r>
        <w:t xml:space="preserve">Embase retrieval of 826 records included:</w:t>
      </w:r>
      <w:r>
        <w:t xml:space="preserve"> </w:t>
      </w:r>
      <w:r>
        <w:t xml:space="preserve">- Conference abstracts from Asian-Oceanian Society of Radiology (AOSR) annual meetings</w:t>
      </w:r>
      <w:r>
        <w:t xml:space="preserve"> </w:t>
      </w:r>
      <w:r>
        <w:t xml:space="preserve">- ESGAR / KSGAR / RSNA / ECR proceedings indexed by Embase</w:t>
      </w:r>
      <w:r>
        <w:t xml:space="preserve"> </w:t>
      </w:r>
      <w:r>
        <w:t xml:space="preserve">- East-Asian regional journal indexing (e.g.,</w:t>
      </w:r>
      <w:r>
        <w:t xml:space="preserve"> </w:t>
      </w:r>
      <w:r>
        <w:rPr>
          <w:i/>
          <w:iCs/>
        </w:rPr>
        <w:t xml:space="preserve">Journal of Interventional Radiology</w:t>
      </w:r>
      <w:r>
        <w:t xml:space="preserve"> </w:t>
      </w:r>
      <w:r>
        <w:t xml:space="preserve">(China), partial)</w:t>
      </w:r>
    </w:p>
    <w:p>
      <w:pPr>
        <w:pStyle w:val="BodyText"/>
      </w:pPr>
      <w:r>
        <w:t xml:space="preserve">The 1 record from</w:t>
      </w:r>
      <w:r>
        <w:t xml:space="preserve"> </w:t>
      </w:r>
      <w:r>
        <w:rPr>
          <w:i/>
          <w:iCs/>
        </w:rPr>
        <w:t xml:space="preserve">J Interv Radiol (China)</w:t>
      </w:r>
      <w:r>
        <w:t xml:space="preserve"> </w:t>
      </w:r>
      <w:r>
        <w:t xml:space="preserve">(</w:t>
      </w:r>
      <w:r>
        <w:rPr>
          <w:rStyle w:val="VerbatimChar"/>
          <w:rFonts w:hint="eastAsia"/>
        </w:rPr>
        <w:t xml:space="preserve">介入放射学杂志</w:t>
      </w:r>
      <w:r>
        <w:t xml:space="preserve">, Huang 2023) was retrieved through this Embase pathway and retained as narrative-only because full-text retrieval was unsuccessful through institutional access, Crossref, and Unpaywall.</w:t>
      </w:r>
    </w:p>
    <w:bookmarkEnd w:id="89"/>
    <w:bookmarkStart w:id="90" w:name="Xf56616aff580d5e30e00da50ae9c6a97b3f053e"/>
    <w:p>
      <w:pPr>
        <w:pStyle w:val="Heading3"/>
      </w:pPr>
      <w:r>
        <w:t xml:space="preserve">3. Cochrane CENTRAL confirmatory search (executed 22 April 2026)</w:t>
      </w:r>
    </w:p>
    <w:p>
      <w:pPr>
        <w:pStyle w:val="FirstParagraph"/>
      </w:pPr>
      <w:r>
        <w:t xml:space="preserve">CENTRAL (Issue 3 of 12, March 2026) was searched as a confirmatory completeness check, retrieving 7 records of which 0 were additionally eligible. None of the 7 CENTRAL records originated from a journal not already covered by PubMed or Embase.</w:t>
      </w:r>
    </w:p>
    <w:bookmarkEnd w:id="90"/>
    <w:bookmarkStart w:id="91" w:name="X15936919ecd222055211786a4d9b603f32c84f8"/>
    <w:p>
      <w:pPr>
        <w:pStyle w:val="Heading3"/>
      </w:pPr>
      <w:r>
        <w:t xml:space="preserve">4. Backward citation searching of all included studies</w:t>
      </w:r>
    </w:p>
    <w:p>
      <w:pPr>
        <w:pStyle w:val="FirstParagraph"/>
      </w:pPr>
      <w:r>
        <w:t xml:space="preserve">The reference lists of all 24 qualitative-synthesis-eligible studies and the prior meta-analysis by Yan et al. (2017) were manually screened for additional eligible studies. No additional eligible studies were identified through this backward citation pathway, supporting the conclusion that the PubMed + Embase + CENTRAL strategy captured the relevant evidence base.</w:t>
      </w:r>
    </w:p>
    <w:bookmarkEnd w:id="91"/>
    <w:bookmarkStart w:id="92" w:name="Xa7b687ff6fa8cb96114a7a82fcf28e70e5e5b20"/>
    <w:p>
      <w:pPr>
        <w:pStyle w:val="Heading3"/>
      </w:pPr>
      <w:r>
        <w:t xml:space="preserve">5. Sensitivity check against six sentinel PMIDs</w:t>
      </w:r>
    </w:p>
    <w:p>
      <w:pPr>
        <w:pStyle w:val="FirstParagraph"/>
      </w:pPr>
      <w:r>
        <w:t xml:space="preserve">The executed PubMed + Embase strategy was validated by confirming retrieval of six sentinel PMIDs (21098171, 22915422, 24475839, 41594202, 33938644, 31339018), drawn from the prior Yan 2017 review and from the preliminary triage. All six were retrieved by the executed strategy. Three were carried forward to the included set (manuscript refs 2, 7, 22); the other three were retrieved but removed by documented screening rules (overlapping institutional cohort, F7; or non-CBCT guidance, E1) rather than missed by the search. Per-sentinel disposition is tabulated in Supplementary Material 1 (Sensitivity Check).</w:t>
      </w:r>
    </w:p>
    <w:bookmarkEnd w:id="92"/>
    <w:bookmarkEnd w:id="93"/>
    <w:bookmarkStart w:id="94" w:name="residual-uncertainty"/>
    <w:p>
      <w:pPr>
        <w:pStyle w:val="Heading2"/>
      </w:pPr>
      <w:r>
        <w:t xml:space="preserve">Residual uncertainty</w:t>
      </w:r>
    </w:p>
    <w:p>
      <w:pPr>
        <w:pStyle w:val="FirstParagraph"/>
      </w:pPr>
      <w:r>
        <w:t xml:space="preserve">The review team acknowledges that:</w:t>
      </w:r>
      <w:r>
        <w:t xml:space="preserve"> </w:t>
      </w:r>
      <w:r>
        <w:t xml:space="preserve">- Web of Science has a small but non-zero unique East-Asian indexing footprint relative to PubMed and Embase, particularly for engineering-physics-flavoured imaging journals (e.g.,</w:t>
      </w:r>
      <w:r>
        <w:t xml:space="preserve"> </w:t>
      </w:r>
      <w:r>
        <w:rPr>
          <w:i/>
          <w:iCs/>
        </w:rPr>
        <w:t xml:space="preserve">Journal of X-Ray Science and Technology</w:t>
      </w:r>
      <w:r>
        <w:t xml:space="preserve">,</w:t>
      </w:r>
      <w:r>
        <w:t xml:space="preserve"> </w:t>
      </w:r>
      <w:r>
        <w:rPr>
          <w:i/>
          <w:iCs/>
        </w:rPr>
        <w:t xml:space="preserve">Computerized Medical Imaging and Graphics</w:t>
      </w:r>
      <w:r>
        <w:t xml:space="preserve">) where some CBCT methodology studies may appear.</w:t>
      </w:r>
      <w:r>
        <w:t xml:space="preserve"> </w:t>
      </w:r>
      <w:r>
        <w:t xml:space="preserve">- Scopus and grey-literature databases have similarly small but non-zero unique footprints.</w:t>
      </w:r>
      <w:r>
        <w:t xml:space="preserve"> </w:t>
      </w:r>
      <w:r>
        <w:t xml:space="preserve">- The absence of direct WoS retrieval data prevents a quantitative estimate of the unique-yield delta.</w:t>
      </w:r>
    </w:p>
    <w:bookmarkEnd w:id="94"/>
    <w:bookmarkStart w:id="95" w:name="conclusion"/>
    <w:p>
      <w:pPr>
        <w:pStyle w:val="Heading2"/>
      </w:pPr>
      <w:r>
        <w:t xml:space="preserve">Conclusion</w:t>
      </w:r>
    </w:p>
    <w:p>
      <w:pPr>
        <w:pStyle w:val="FirstParagraph"/>
      </w:pPr>
      <w:r>
        <w:t xml:space="preserve">The convergent indirect evidence — PubMed coverage of major Asian radiology journals, Embase coverage of East-Asian conference and grey literature, the Cochrane CENTRAL confirmatory search, the backward citation check against included-study reference lists and the Yan 2017 review, and the six-sentinel PMID sensitivity validation — supports the comprehensiveness of the executed search with respect to the Asian literature segment. The absence of direct WoS retrieval is acknowledged as a residual limitation in the Discussion (Limitation 6).</w:t>
      </w:r>
    </w:p>
    <w:bookmarkEnd w:id="95"/>
    <w:bookmarkEnd w:id="96"/>
    <w:p>
      <w:pPr>
        <w:pStyle w:val="Heading1"/>
      </w:pPr>
      <w:r>
        <w:t xml:space="preserve">Supplementary Material 11. PRISMA-DTA 27-item compliance checklist</w:t>
      </w:r>
    </w:p>
    <w:p>
      <w:pPr>
        <w:pStyle w:val="FirstParagraph"/>
      </w:pPr>
      <w:r>
        <w:rPr>
          <w:b/>
          <w:bCs/>
        </w:rPr>
        <w:t xml:space="preserve">Manuscript:</w:t>
      </w:r>
      <w:r>
        <w:t xml:space="preserve"> </w:t>
      </w:r>
      <w:r>
        <w:t xml:space="preserve">Diagnostic Accuracy and Safety of Cone-Beam CT-Guided Percutaneous Transthoracic Lung Biopsy: An Updated Systematic Review and Meta-Analysis</w:t>
      </w:r>
      <w:r>
        <w:t xml:space="preserve"> </w:t>
      </w:r>
      <w:r>
        <w:rPr>
          <w:b/>
          <w:bCs/>
        </w:rPr>
        <w:t xml:space="preserve">Guideline:</w:t>
      </w:r>
      <w:r>
        <w:t xml:space="preserve"> </w:t>
      </w:r>
      <w:r>
        <w:t xml:space="preserve">PRISMA-DTA (McInnes MDF et al. JAMA 2018;319(4):388-396)</w:t>
      </w:r>
    </w:p>
    <w:bookmarkStart w:id="47" w:name="summary"/>
    <w:p>
      <w:pPr>
        <w:pStyle w:val="Heading3"/>
      </w:pPr>
      <w:r>
        <w:t xml:space="preserve">Summary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Status</w:t>
            </w:r>
          </w:p>
        </w:tc>
        <w:tc>
          <w:tcPr/>
          <w:p>
            <w:pPr>
              <w:pStyle w:val="Compact"/>
            </w:pPr>
            <w:r>
              <w:t xml:space="preserve">Count</w:t>
            </w:r>
          </w:p>
        </w:tc>
        <w:tc>
          <w:tcPr/>
          <w:p>
            <w:pPr>
              <w:pStyle w:val="Compact"/>
            </w:pPr>
            <w:r>
              <w:t xml:space="preserve">Percentage</w:t>
            </w:r>
          </w:p>
        </w:tc>
      </w:tr>
      <w:tr>
        <w:tc>
          <w:tcPr/>
          <w:p>
            <w:pPr>
              <w:pStyle w:val="Compact"/>
            </w:pPr>
            <w:r>
              <w:t xml:space="preserve">PRESENT</w:t>
            </w:r>
          </w:p>
        </w:tc>
        <w:tc>
          <w:tcPr/>
          <w:p>
            <w:pPr>
              <w:pStyle w:val="Compact"/>
            </w:pPr>
            <w:r>
              <w:t xml:space="preserve">27</w:t>
            </w:r>
          </w:p>
        </w:tc>
        <w:tc>
          <w:tcPr/>
          <w:p>
            <w:pPr>
              <w:pStyle w:val="Compact"/>
            </w:pPr>
            <w:r>
              <w:t xml:space="preserve">100.0%</w:t>
            </w:r>
          </w:p>
        </w:tc>
      </w:tr>
      <w:tr>
        <w:tc>
          <w:tcPr/>
          <w:p>
            <w:pPr>
              <w:pStyle w:val="Compact"/>
            </w:pPr>
            <w:r>
              <w:t xml:space="preserve">PARTIAL</w:t>
            </w:r>
          </w:p>
        </w:tc>
        <w:tc>
          <w:tcPr/>
          <w:p>
            <w:pPr>
              <w:pStyle w:val="Compact"/>
            </w:pPr>
            <w:r>
              <w:t xml:space="preserve">0</w:t>
            </w:r>
          </w:p>
        </w:tc>
        <w:tc>
          <w:tcPr/>
          <w:p>
            <w:pPr>
              <w:pStyle w:val="Compact"/>
            </w:pPr>
            <w:r>
              <w:t xml:space="preserve">0.0%</w:t>
            </w:r>
          </w:p>
        </w:tc>
      </w:tr>
      <w:tr>
        <w:tc>
          <w:tcPr/>
          <w:p>
            <w:pPr>
              <w:pStyle w:val="Compact"/>
            </w:pPr>
            <w:r>
              <w:t xml:space="preserve">MISSING</w:t>
            </w:r>
          </w:p>
        </w:tc>
        <w:tc>
          <w:tcPr/>
          <w:p>
            <w:pPr>
              <w:pStyle w:val="Compact"/>
            </w:pPr>
            <w:r>
              <w:t xml:space="preserve">0</w:t>
            </w:r>
          </w:p>
        </w:tc>
        <w:tc>
          <w:tcPr/>
          <w:p>
            <w:pPr>
              <w:pStyle w:val="Compact"/>
            </w:pPr>
            <w:r>
              <w:t xml:space="preserve">0.0%</w:t>
            </w:r>
          </w:p>
        </w:tc>
      </w:tr>
      <w:tr>
        <w:tc>
          <w:tcPr/>
          <w:p>
            <w:pPr>
              <w:pStyle w:val="Compact"/>
            </w:pPr>
            <w:r>
              <w:t xml:space="preserve">N/A</w:t>
            </w:r>
          </w:p>
        </w:tc>
        <w:tc>
          <w:tcPr/>
          <w:p>
            <w:pPr>
              <w:pStyle w:val="Compact"/>
            </w:pPr>
            <w:r>
              <w:t xml:space="preserve">0</w:t>
            </w:r>
          </w:p>
        </w:tc>
        <w:tc>
          <w:tcPr/>
          <w:p>
            <w:pPr>
              <w:pStyle w:val="Compact"/>
            </w:pPr>
            <w:r>
              <w:t xml:space="preserve">0.0%</w:t>
            </w:r>
          </w:p>
        </w:tc>
      </w:tr>
      <w:tr>
        <w:tc>
          <w:tcPr/>
          <w:p>
            <w:pPr>
              <w:pStyle w:val="Compact"/>
            </w:pPr>
            <w:r>
              <w:rPr>
                <w:b/>
                <w:bCs/>
              </w:rPr>
              <w:t xml:space="preserve">Total</w:t>
            </w:r>
          </w:p>
        </w:tc>
        <w:tc>
          <w:tcPr/>
          <w:p>
            <w:pPr>
              <w:pStyle w:val="Compact"/>
            </w:pPr>
            <w:r>
              <w:rPr>
                <w:b/>
                <w:bCs/>
              </w:rPr>
              <w:t xml:space="preserve">27</w:t>
            </w:r>
          </w:p>
        </w:tc>
        <w:tc>
          <w:tcPr/>
          <w:p>
            <w:pPr>
              <w:pStyle w:val="Compact"/>
            </w:pPr>
            <w:r>
              <w:rPr>
                <w:b/>
                <w:bCs/>
              </w:rPr>
              <w:t xml:space="preserve">100%</w:t>
            </w:r>
          </w:p>
        </w:tc>
      </w:tr>
    </w:tbl>
    <w:p>
      <w:pPr>
        <w:pStyle w:val="BodyText"/>
      </w:pPr>
      <w:r>
        <w:rPr>
          <w:b/>
          <w:bCs/>
        </w:rPr>
        <w:t xml:space="preserve">Overall compliance:</w:t>
      </w:r>
      <w:r>
        <w:t xml:space="preserve"> </w:t>
      </w:r>
      <w:r>
        <w:t xml:space="preserve">27/27 (100.0%) fully present. This revision incorporates the addition of the Cochrane CENTRAL confirmatory search (Issue 3 of 12, March 2026; +7 records, 0 additionally eligible), the new Trim-and-Fill and Cochran Q heterogeneity analyses, the new Discussion subsections on Practical Implications and Generalisability, and the PROSPERO Version 1.2 amendment with three individually dated entries (CENTRAL search, post-hoc ITD-only sensitivity, subgroup-framing clarification). Synthesis set: k = 22 bivariate / k = 24 qualitative / 2 narrative-only.</w:t>
      </w:r>
    </w:p>
    <w:p>
      <w:r>
        <w:pict>
          <v:rect style="width:0;height:1.5pt" o:hralign="center" o:hrstd="t" o:hr="t"/>
        </w:pict>
      </w:r>
    </w:p>
    <w:bookmarkEnd w:id="47"/>
    <w:bookmarkStart w:id="48" w:name="flow-numbers"/>
    <w:p>
      <w:pPr>
        <w:pStyle w:val="Heading3"/>
      </w:pPr>
      <w:r>
        <w:t xml:space="preserve">Flow numbers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Count</w:t>
            </w:r>
          </w:p>
        </w:tc>
      </w:tr>
      <w:tr>
        <w:tc>
          <w:tcPr/>
          <w:p>
            <w:pPr>
              <w:pStyle w:val="Compact"/>
            </w:pPr>
            <w:r>
              <w:t xml:space="preserve">Records identified (PubMed 224 + Embase 826 + CENTRAL 7)</w:t>
            </w:r>
          </w:p>
        </w:tc>
        <w:tc>
          <w:tcPr/>
          <w:p>
            <w:pPr>
              <w:pStyle w:val="Compact"/>
            </w:pPr>
            <w:r>
              <w:t xml:space="preserve">1,057</w:t>
            </w:r>
          </w:p>
        </w:tc>
      </w:tr>
      <w:tr>
        <w:tc>
          <w:tcPr/>
          <w:p>
            <w:pPr>
              <w:pStyle w:val="Compact"/>
            </w:pPr>
            <w:r>
              <w:t xml:space="preserve">After deduplication (151 removed: 11 intra-Embase + 139 PubMed–Embase + 1 CENTRAL–Embase)</w:t>
            </w:r>
          </w:p>
        </w:tc>
        <w:tc>
          <w:tcPr/>
          <w:p>
            <w:pPr>
              <w:pStyle w:val="Compact"/>
            </w:pPr>
            <w:r>
              <w:t xml:space="preserve">906</w:t>
            </w:r>
          </w:p>
        </w:tc>
      </w:tr>
      <w:tr>
        <w:tc>
          <w:tcPr/>
          <w:p>
            <w:pPr>
              <w:pStyle w:val="Compact"/>
            </w:pPr>
            <w:r>
              <w:t xml:space="preserve">Title/abstract excluded (E1–E5)</w:t>
            </w:r>
          </w:p>
        </w:tc>
        <w:tc>
          <w:tcPr/>
          <w:p>
            <w:pPr>
              <w:pStyle w:val="Compact"/>
            </w:pPr>
            <w:r>
              <w:t xml:space="preserve">828</w:t>
            </w:r>
          </w:p>
        </w:tc>
      </w:tr>
      <w:tr>
        <w:tc>
          <w:tcPr/>
          <w:p>
            <w:pPr>
              <w:pStyle w:val="Compact"/>
            </w:pPr>
            <w:r>
              <w:t xml:space="preserve">Full-text assessed</w:t>
            </w:r>
          </w:p>
        </w:tc>
        <w:tc>
          <w:tcPr/>
          <w:p>
            <w:pPr>
              <w:pStyle w:val="Compact"/>
            </w:pPr>
            <w:r>
              <w:t xml:space="preserve">78</w:t>
            </w:r>
          </w:p>
        </w:tc>
      </w:tr>
      <w:tr>
        <w:tc>
          <w:tcPr/>
          <w:p>
            <w:pPr>
              <w:pStyle w:val="Compact"/>
            </w:pPr>
            <w:r>
              <w:t xml:space="preserve">Full-text excluded (F5–F9)</w:t>
            </w:r>
          </w:p>
        </w:tc>
        <w:tc>
          <w:tcPr/>
          <w:p>
            <w:pPr>
              <w:pStyle w:val="Compact"/>
            </w:pPr>
            <w:r>
              <w:t xml:space="preserve">54</w:t>
            </w:r>
          </w:p>
        </w:tc>
      </w:tr>
      <w:tr>
        <w:tc>
          <w:tcPr/>
          <w:p>
            <w:pPr>
              <w:pStyle w:val="Compact"/>
            </w:pPr>
            <w:r>
              <w:t xml:space="preserve">Qualitative synthesis</w:t>
            </w:r>
          </w:p>
        </w:tc>
        <w:tc>
          <w:tcPr/>
          <w:p>
            <w:pPr>
              <w:pStyle w:val="Compact"/>
            </w:pPr>
            <w:r>
              <w:t xml:space="preserve">24</w:t>
            </w:r>
          </w:p>
        </w:tc>
      </w:tr>
      <w:tr>
        <w:tc>
          <w:tcPr/>
          <w:p>
            <w:pPr>
              <w:pStyle w:val="Compact"/>
            </w:pPr>
            <w:r>
              <w:t xml:space="preserve">Bivariate meta-analysis</w:t>
            </w:r>
          </w:p>
        </w:tc>
        <w:tc>
          <w:tcPr/>
          <w:p>
            <w:pPr>
              <w:pStyle w:val="Compact"/>
            </w:pPr>
            <w:r>
              <w:t xml:space="preserve">22</w:t>
            </w:r>
          </w:p>
        </w:tc>
      </w:tr>
      <w:tr>
        <w:tc>
          <w:tcPr/>
          <w:p>
            <w:pPr>
              <w:pStyle w:val="Compact"/>
            </w:pPr>
            <w:r>
              <w:t xml:space="preserve">Narrative-only (not 2×2 reconstructable)</w:t>
            </w:r>
          </w:p>
        </w:tc>
        <w:tc>
          <w:tcPr/>
          <w:p>
            <w:pPr>
              <w:pStyle w:val="Compact"/>
            </w:pPr>
            <w:r>
              <w:t xml:space="preserve">2</w:t>
            </w:r>
          </w:p>
        </w:tc>
      </w:tr>
      <w:tr>
        <w:tc>
          <w:tcPr/>
          <w:p>
            <w:pPr>
              <w:pStyle w:val="Compact"/>
            </w:pPr>
            <w:r>
              <w:t xml:space="preserve">Total patients (bivariate corpus)</w:t>
            </w:r>
          </w:p>
        </w:tc>
        <w:tc>
          <w:tcPr/>
          <w:p>
            <w:pPr>
              <w:pStyle w:val="Compact"/>
            </w:pPr>
            <w:r>
              <w:t xml:space="preserve">3,681</w:t>
            </w:r>
          </w:p>
        </w:tc>
      </w:tr>
    </w:tbl>
    <w:p>
      <w:r>
        <w:pict>
          <v:rect style="width:0;height:1.5pt" o:hralign="center" o:hrstd="t" o:hr="t"/>
        </w:pict>
      </w:r>
    </w:p>
    <w:bookmarkEnd w:id="48"/>
    <w:bookmarkStart w:id="49" w:name="detailed-checklist"/>
    <w:p>
      <w:pPr>
        <w:pStyle w:val="Heading3"/>
      </w:pPr>
      <w:r>
        <w:t xml:space="preserve">Detailed Checklist</w:t>
      </w:r>
    </w:p>
    <w:tbl>
      <w:tblPr>
        <w:tblStyle w:val="Table"/>
        <w:tblW w:type="pct" w:w="5000"/>
        <w:tblLayout w:type="fixed"/>
        <w:tblLook w:firstRow="1" w:lastRow="0" w:firstColumn="0" w:lastColumn="0" w:noHBand="0" w:noVBand="0" w:val="0020"/>
      </w:tblPr>
      <w:tblGrid>
        <w:gridCol w:w="475"/>
        <w:gridCol w:w="1425"/>
        <w:gridCol w:w="950"/>
        <w:gridCol w:w="1267"/>
        <w:gridCol w:w="2692"/>
        <w:gridCol w:w="1108"/>
      </w:tblGrid>
      <w:tr>
        <w:trPr>
          <w:tblHeader w:val="on"/>
        </w:trPr>
        <w:tc>
          <w:tcPr/>
          <w:p>
            <w:pPr>
              <w:pStyle w:val="Compact"/>
            </w:pPr>
            <w:r>
              <w:t xml:space="preserve">#</w:t>
            </w:r>
          </w:p>
        </w:tc>
        <w:tc>
          <w:tcPr/>
          <w:p>
            <w:pPr>
              <w:pStyle w:val="Compact"/>
            </w:pPr>
            <w:r>
              <w:t xml:space="preserve">Section</w:t>
            </w:r>
          </w:p>
        </w:tc>
        <w:tc>
          <w:tcPr/>
          <w:p>
            <w:pPr>
              <w:pStyle w:val="Compact"/>
            </w:pPr>
            <w:r>
              <w:t xml:space="preserve">Item</w:t>
            </w:r>
          </w:p>
        </w:tc>
        <w:tc>
          <w:tcPr/>
          <w:p>
            <w:pPr>
              <w:pStyle w:val="Compact"/>
            </w:pPr>
            <w:r>
              <w:t xml:space="preserve">Status</w:t>
            </w:r>
          </w:p>
        </w:tc>
        <w:tc>
          <w:tcPr/>
          <w:p>
            <w:pPr>
              <w:pStyle w:val="Compact"/>
            </w:pPr>
            <w:r>
              <w:t xml:space="preserve">Location</w:t>
            </w:r>
          </w:p>
        </w:tc>
        <w:tc>
          <w:tcPr/>
          <w:p>
            <w:pPr>
              <w:pStyle w:val="Compact"/>
            </w:pPr>
            <w:r>
              <w:t xml:space="preserve">Notes</w:t>
            </w:r>
          </w:p>
        </w:tc>
      </w:tr>
      <w:tr>
        <w:tc>
          <w:tcPr/>
          <w:p>
            <w:pPr>
              <w:pStyle w:val="Compact"/>
            </w:pPr>
            <w:r>
              <w:t xml:space="preserve">1</w:t>
            </w:r>
          </w:p>
        </w:tc>
        <w:tc>
          <w:tcPr/>
          <w:p>
            <w:pPr>
              <w:pStyle w:val="Compact"/>
            </w:pPr>
            <w:r>
              <w:t xml:space="preserve">Title</w:t>
            </w:r>
          </w:p>
        </w:tc>
        <w:tc>
          <w:tcPr/>
          <w:p>
            <w:pPr>
              <w:pStyle w:val="Compact"/>
            </w:pPr>
            <w:r>
              <w:t xml:space="preserve">Identify as SR ± meta-analysis of DTA studies</w:t>
            </w:r>
          </w:p>
        </w:tc>
        <w:tc>
          <w:tcPr/>
          <w:p>
            <w:pPr>
              <w:pStyle w:val="Compact"/>
            </w:pPr>
            <w:r>
              <w:t xml:space="preserve">PRESENT</w:t>
            </w:r>
          </w:p>
        </w:tc>
        <w:tc>
          <w:tcPr/>
          <w:p>
            <w:pPr>
              <w:pStyle w:val="Compact"/>
            </w:pPr>
            <w:r>
              <w:t xml:space="preserve">Title</w:t>
            </w:r>
          </w:p>
        </w:tc>
        <w:tc>
          <w:tcPr/>
          <w:p>
            <w:pPr>
              <w:pStyle w:val="Compact"/>
            </w:pPr>
            <w:r>
              <w:t xml:space="preserve">“Updated Systematic Review and Meta-Analysis”</w:t>
            </w:r>
            <w:r>
              <w:t xml:space="preserve"> </w:t>
            </w:r>
            <w:r>
              <w:t xml:space="preserve">+</w:t>
            </w:r>
            <w:r>
              <w:t xml:space="preserve"> </w:t>
            </w:r>
            <w:r>
              <w:t xml:space="preserve">“Diagnostic Accuracy”</w:t>
            </w:r>
            <w:r>
              <w:t xml:space="preserve"> </w:t>
            </w:r>
            <w:r>
              <w:t xml:space="preserve">explicit.</w:t>
            </w:r>
          </w:p>
        </w:tc>
      </w:tr>
      <w:tr>
        <w:tc>
          <w:tcPr/>
          <w:p>
            <w:pPr>
              <w:pStyle w:val="Compact"/>
            </w:pPr>
            <w:r>
              <w:t xml:space="preserve">2</w:t>
            </w:r>
          </w:p>
        </w:tc>
        <w:tc>
          <w:tcPr/>
          <w:p>
            <w:pPr>
              <w:pStyle w:val="Compact"/>
            </w:pPr>
            <w:r>
              <w:t xml:space="preserve">Abstract – Structured</w:t>
            </w:r>
          </w:p>
        </w:tc>
        <w:tc>
          <w:tcPr/>
          <w:p>
            <w:pPr>
              <w:pStyle w:val="Compact"/>
            </w:pPr>
            <w:r>
              <w:t xml:space="preserve">Structured summary</w:t>
            </w:r>
          </w:p>
        </w:tc>
        <w:tc>
          <w:tcPr/>
          <w:p>
            <w:pPr>
              <w:pStyle w:val="Compact"/>
            </w:pPr>
            <w:r>
              <w:t xml:space="preserve">PRESENT</w:t>
            </w:r>
          </w:p>
        </w:tc>
        <w:tc>
          <w:tcPr/>
          <w:p>
            <w:pPr>
              <w:pStyle w:val="Compact"/>
            </w:pPr>
            <w:r>
              <w:t xml:space="preserve">Abstract</w:t>
            </w:r>
          </w:p>
        </w:tc>
        <w:tc>
          <w:tcPr/>
          <w:p>
            <w:pPr>
              <w:pStyle w:val="Compact"/>
            </w:pPr>
            <w:r>
              <w:t xml:space="preserve">Purpose/Methods/Results/Conclusion with PROSPERO ID, QUADAS-2 mention, explicit limitations (universal differential verification, retrospective preponderance, pre-2017 Deeks asymmetry, specificity upper-bound caveat).</w:t>
            </w:r>
          </w:p>
        </w:tc>
      </w:tr>
      <w:tr>
        <w:tc>
          <w:tcPr/>
          <w:p>
            <w:pPr>
              <w:pStyle w:val="Compact"/>
            </w:pPr>
            <w:r>
              <w:t xml:space="preserve">3</w:t>
            </w:r>
          </w:p>
        </w:tc>
        <w:tc>
          <w:tcPr/>
          <w:p>
            <w:pPr>
              <w:pStyle w:val="Compact"/>
            </w:pPr>
            <w:r>
              <w:t xml:space="preserve">Introduction – Rationale</w:t>
            </w:r>
          </w:p>
        </w:tc>
        <w:tc>
          <w:tcPr/>
          <w:p>
            <w:pPr>
              <w:pStyle w:val="Compact"/>
            </w:pPr>
            <w:r>
              <w:t xml:space="preserve">Rationale in context of what is already known</w:t>
            </w:r>
          </w:p>
        </w:tc>
        <w:tc>
          <w:tcPr/>
          <w:p>
            <w:pPr>
              <w:pStyle w:val="Compact"/>
            </w:pPr>
            <w:r>
              <w:t xml:space="preserve">PRESENT</w:t>
            </w:r>
          </w:p>
        </w:tc>
        <w:tc>
          <w:tcPr/>
          <w:p>
            <w:pPr>
              <w:pStyle w:val="Compact"/>
            </w:pPr>
            <w:r>
              <w:t xml:space="preserve">Introduction</w:t>
            </w:r>
          </w:p>
        </w:tc>
        <w:tc>
          <w:tcPr/>
          <w:p>
            <w:pPr>
              <w:pStyle w:val="Compact"/>
            </w:pPr>
            <w:r>
              <w:t xml:space="preserve">CBCT background + explicit motivation against Yan 2017 (k=8, 2016).</w:t>
            </w:r>
          </w:p>
        </w:tc>
      </w:tr>
      <w:tr>
        <w:tc>
          <w:tcPr/>
          <w:p>
            <w:pPr>
              <w:pStyle w:val="Compact"/>
            </w:pPr>
            <w:r>
              <w:t xml:space="preserve">4</w:t>
            </w:r>
          </w:p>
        </w:tc>
        <w:tc>
          <w:tcPr/>
          <w:p>
            <w:pPr>
              <w:pStyle w:val="Compact"/>
            </w:pPr>
            <w:r>
              <w:t xml:space="preserve">Introduction – Objectives</w:t>
            </w:r>
          </w:p>
        </w:tc>
        <w:tc>
          <w:tcPr/>
          <w:p>
            <w:pPr>
              <w:pStyle w:val="Compact"/>
            </w:pPr>
            <w:r>
              <w:t xml:space="preserve">State precise objectives including PIRD</w:t>
            </w:r>
          </w:p>
        </w:tc>
        <w:tc>
          <w:tcPr/>
          <w:p>
            <w:pPr>
              <w:pStyle w:val="Compact"/>
            </w:pPr>
            <w:r>
              <w:t xml:space="preserve">PRESENT</w:t>
            </w:r>
          </w:p>
        </w:tc>
        <w:tc>
          <w:tcPr/>
          <w:p>
            <w:pPr>
              <w:pStyle w:val="Compact"/>
            </w:pPr>
            <w:r>
              <w:t xml:space="preserve">Introduction</w:t>
            </w:r>
          </w:p>
        </w:tc>
        <w:tc>
          <w:tcPr/>
          <w:p>
            <w:pPr>
              <w:pStyle w:val="Compact"/>
            </w:pPr>
            <w:r>
              <w:t xml:space="preserve">Population (pulmonary lesions), Index test (CBCT-guided PTNB), Reference standard (surgical pathology / ≥6-month follow-up), Diagnostic accuracy + safety outcomes.</w:t>
            </w:r>
          </w:p>
        </w:tc>
      </w:tr>
      <w:tr>
        <w:tc>
          <w:tcPr/>
          <w:p>
            <w:pPr>
              <w:pStyle w:val="Compact"/>
            </w:pPr>
            <w:r>
              <w:t xml:space="preserve">5</w:t>
            </w:r>
          </w:p>
        </w:tc>
        <w:tc>
          <w:tcPr/>
          <w:p>
            <w:pPr>
              <w:pStyle w:val="Compact"/>
            </w:pPr>
            <w:r>
              <w:t xml:space="preserve">Methods – Protocol</w:t>
            </w:r>
          </w:p>
        </w:tc>
        <w:tc>
          <w:tcPr/>
          <w:p>
            <w:pPr>
              <w:pStyle w:val="Compact"/>
            </w:pPr>
            <w:r>
              <w:t xml:space="preserve">Protocol/registration indicated and accessible</w:t>
            </w:r>
          </w:p>
        </w:tc>
        <w:tc>
          <w:tcPr/>
          <w:p>
            <w:pPr>
              <w:pStyle w:val="Compact"/>
            </w:pPr>
            <w:r>
              <w:t xml:space="preserve">PRESENT</w:t>
            </w:r>
          </w:p>
        </w:tc>
        <w:tc>
          <w:tcPr/>
          <w:p>
            <w:pPr>
              <w:pStyle w:val="Compact"/>
            </w:pPr>
            <w:r>
              <w:t xml:space="preserve">Methods</w:t>
            </w:r>
          </w:p>
        </w:tc>
        <w:tc>
          <w:tcPr/>
          <w:p>
            <w:pPr>
              <w:pStyle w:val="Compact"/>
            </w:pPr>
            <w:r>
              <w:t xml:space="preserve">PROSPERO CRD420261370382, registered 2026-04-15; amendment CRD420261370382.v2 filed for ITD, subgroup departures, and Cochrane CENTRAL confirmatory search.</w:t>
            </w:r>
          </w:p>
        </w:tc>
      </w:tr>
      <w:tr>
        <w:tc>
          <w:tcPr/>
          <w:p>
            <w:pPr>
              <w:pStyle w:val="Compact"/>
            </w:pPr>
            <w:r>
              <w:t xml:space="preserve">6</w:t>
            </w:r>
          </w:p>
        </w:tc>
        <w:tc>
          <w:tcPr/>
          <w:p>
            <w:pPr>
              <w:pStyle w:val="Compact"/>
            </w:pPr>
            <w:r>
              <w:t xml:space="preserve">Methods – Eligibility</w:t>
            </w:r>
          </w:p>
        </w:tc>
        <w:tc>
          <w:tcPr/>
          <w:p>
            <w:pPr>
              <w:pStyle w:val="Compact"/>
            </w:pPr>
            <w:r>
              <w:t xml:space="preserve">Study + reporting characteristic criteria</w:t>
            </w:r>
          </w:p>
        </w:tc>
        <w:tc>
          <w:tcPr/>
          <w:p>
            <w:pPr>
              <w:pStyle w:val="Compact"/>
            </w:pPr>
            <w:r>
              <w:t xml:space="preserve">PRESENT</w:t>
            </w:r>
          </w:p>
        </w:tc>
        <w:tc>
          <w:tcPr/>
          <w:p>
            <w:pPr>
              <w:pStyle w:val="Compact"/>
            </w:pPr>
            <w:r>
              <w:t xml:space="preserve">Methods</w:t>
            </w:r>
          </w:p>
        </w:tc>
        <w:tc>
          <w:tcPr/>
          <w:p>
            <w:pPr>
              <w:pStyle w:val="Compact"/>
            </w:pPr>
            <w:r>
              <w:t xml:space="preserve">Population, index test synonyms (DynaCT, XperCT, Innova CT, Artis zeego), exclusions, reference standard definition.</w:t>
            </w:r>
          </w:p>
        </w:tc>
      </w:tr>
      <w:tr>
        <w:tc>
          <w:tcPr/>
          <w:p>
            <w:pPr>
              <w:pStyle w:val="Compact"/>
            </w:pPr>
            <w:r>
              <w:t xml:space="preserve">7</w:t>
            </w:r>
          </w:p>
        </w:tc>
        <w:tc>
          <w:tcPr/>
          <w:p>
            <w:pPr>
              <w:pStyle w:val="Compact"/>
            </w:pPr>
            <w:r>
              <w:t xml:space="preserve">Methods – Information sources</w:t>
            </w:r>
          </w:p>
        </w:tc>
        <w:tc>
          <w:tcPr/>
          <w:p>
            <w:pPr>
              <w:pStyle w:val="Compact"/>
            </w:pPr>
            <w:r>
              <w:t xml:space="preserve">All sources + date last searched</w:t>
            </w:r>
          </w:p>
        </w:tc>
        <w:tc>
          <w:tcPr/>
          <w:p>
            <w:pPr>
              <w:pStyle w:val="Compact"/>
            </w:pPr>
            <w:r>
              <w:t xml:space="preserve">PRESENT</w:t>
            </w:r>
          </w:p>
        </w:tc>
        <w:tc>
          <w:tcPr/>
          <w:p>
            <w:pPr>
              <w:pStyle w:val="Compact"/>
            </w:pPr>
            <w:r>
              <w:t xml:space="preserve">Methods</w:t>
            </w:r>
          </w:p>
        </w:tc>
        <w:tc>
          <w:tcPr/>
          <w:p>
            <w:pPr>
              <w:pStyle w:val="Compact"/>
            </w:pPr>
            <w:r>
              <w:t xml:space="preserve">PubMed + Embase; through 2026-04-06; no language/date restriction.</w:t>
            </w:r>
          </w:p>
        </w:tc>
      </w:tr>
      <w:tr>
        <w:tc>
          <w:tcPr/>
          <w:p>
            <w:pPr>
              <w:pStyle w:val="Compact"/>
            </w:pPr>
            <w:r>
              <w:t xml:space="preserve">8</w:t>
            </w:r>
          </w:p>
        </w:tc>
        <w:tc>
          <w:tcPr/>
          <w:p>
            <w:pPr>
              <w:pStyle w:val="Compact"/>
            </w:pPr>
            <w:r>
              <w:t xml:space="preserve">Methods – Search</w:t>
            </w:r>
          </w:p>
        </w:tc>
        <w:tc>
          <w:tcPr/>
          <w:p>
            <w:pPr>
              <w:pStyle w:val="Compact"/>
            </w:pPr>
            <w:r>
              <w:t xml:space="preserve">Full search strategy for ≥1 database</w:t>
            </w:r>
          </w:p>
        </w:tc>
        <w:tc>
          <w:tcPr/>
          <w:p>
            <w:pPr>
              <w:pStyle w:val="Compact"/>
            </w:pPr>
            <w:r>
              <w:t xml:space="preserve">PRESENT</w:t>
            </w:r>
          </w:p>
        </w:tc>
        <w:tc>
          <w:tcPr/>
          <w:p>
            <w:pPr>
              <w:pStyle w:val="Compact"/>
            </w:pPr>
            <w:r>
              <w:t xml:space="preserve">Methods; Supplementary Material 1</w:t>
            </w:r>
          </w:p>
        </w:tc>
        <w:tc>
          <w:tcPr/>
          <w:p>
            <w:pPr>
              <w:pStyle w:val="Compact"/>
            </w:pPr>
            <w:r>
              <w:t xml:space="preserve">Pointer to Supplementary Material 1 with full PubMed and Embase strategies.</w:t>
            </w:r>
          </w:p>
        </w:tc>
      </w:tr>
      <w:tr>
        <w:tc>
          <w:tcPr/>
          <w:p>
            <w:pPr>
              <w:pStyle w:val="Compact"/>
            </w:pPr>
            <w:r>
              <w:t xml:space="preserve">9</w:t>
            </w:r>
          </w:p>
        </w:tc>
        <w:tc>
          <w:tcPr/>
          <w:p>
            <w:pPr>
              <w:pStyle w:val="Compact"/>
            </w:pPr>
            <w:r>
              <w:t xml:space="preserve">Methods – Study selection</w:t>
            </w:r>
          </w:p>
        </w:tc>
        <w:tc>
          <w:tcPr/>
          <w:p>
            <w:pPr>
              <w:pStyle w:val="Compact"/>
            </w:pPr>
            <w:r>
              <w:t xml:space="preserve">Process for selecting studies</w:t>
            </w:r>
          </w:p>
        </w:tc>
        <w:tc>
          <w:tcPr/>
          <w:p>
            <w:pPr>
              <w:pStyle w:val="Compact"/>
            </w:pPr>
            <w:r>
              <w:t xml:space="preserve">PRESENT</w:t>
            </w:r>
          </w:p>
        </w:tc>
        <w:tc>
          <w:tcPr/>
          <w:p>
            <w:pPr>
              <w:pStyle w:val="Compact"/>
            </w:pPr>
            <w:r>
              <w:t xml:space="preserve">Methods, Study Selection</w:t>
            </w:r>
          </w:p>
        </w:tc>
        <w:tc>
          <w:tcPr/>
          <w:p>
            <w:pPr>
              <w:pStyle w:val="Compact"/>
            </w:pPr>
            <w:r>
              <w:t xml:space="preserve">Dual independent title/abstract screening by Reviewer 1 + Reviewer 2 (900 records) using predefined codes E1–E5. Agreement 93.9%, Cohen’s κ = 0.572 (moderate); 55 disagreements resolved by consensus. 6 FLAG adjudications (IDs 54, 188, 253, 268, 474, 549; final dispositions in Supplementary Material 3). Full consensus record in Supplementary Material 3.</w:t>
            </w:r>
          </w:p>
        </w:tc>
      </w:tr>
      <w:tr>
        <w:tc>
          <w:tcPr/>
          <w:p>
            <w:pPr>
              <w:pStyle w:val="Compact"/>
            </w:pPr>
            <w:r>
              <w:t xml:space="preserve">10</w:t>
            </w:r>
          </w:p>
        </w:tc>
        <w:tc>
          <w:tcPr/>
          <w:p>
            <w:pPr>
              <w:pStyle w:val="Compact"/>
            </w:pPr>
            <w:r>
              <w:t xml:space="preserve">Methods – Data collection</w:t>
            </w:r>
          </w:p>
        </w:tc>
        <w:tc>
          <w:tcPr/>
          <w:p>
            <w:pPr>
              <w:pStyle w:val="Compact"/>
            </w:pPr>
            <w:r>
              <w:t xml:space="preserve">Extraction method + author contact</w:t>
            </w:r>
          </w:p>
        </w:tc>
        <w:tc>
          <w:tcPr/>
          <w:p>
            <w:pPr>
              <w:pStyle w:val="Compact"/>
            </w:pPr>
            <w:r>
              <w:t xml:space="preserve">PRESENT</w:t>
            </w:r>
          </w:p>
        </w:tc>
        <w:tc>
          <w:tcPr/>
          <w:p>
            <w:pPr>
              <w:pStyle w:val="Compact"/>
            </w:pPr>
            <w:r>
              <w:t xml:space="preserve">Methods</w:t>
            </w:r>
          </w:p>
        </w:tc>
        <w:tc>
          <w:tcPr/>
          <w:p>
            <w:pPr>
              <w:pStyle w:val="Compact"/>
            </w:pPr>
            <w:r>
              <w:t xml:space="preserve">3-level extraction hierarchy (direct / Sn+Sp+N / yield+prevalence); dual independent extraction by Reviewer 1 and Reviewer 2 with a cell-level reconciliation audit against primary-source PDFs (88/88 match). Author contact not undertaken, stated in Methods and acknowledged as Limitation 1.</w:t>
            </w:r>
          </w:p>
        </w:tc>
      </w:tr>
      <w:tr>
        <w:tc>
          <w:tcPr/>
          <w:p>
            <w:pPr>
              <w:pStyle w:val="Compact"/>
            </w:pPr>
            <w:r>
              <w:t xml:space="preserve">11</w:t>
            </w:r>
          </w:p>
        </w:tc>
        <w:tc>
          <w:tcPr/>
          <w:p>
            <w:pPr>
              <w:pStyle w:val="Compact"/>
            </w:pPr>
            <w:r>
              <w:t xml:space="preserve">Methods – Data items</w:t>
            </w:r>
          </w:p>
        </w:tc>
        <w:tc>
          <w:tcPr/>
          <w:p>
            <w:pPr>
              <w:pStyle w:val="Compact"/>
            </w:pPr>
            <w:r>
              <w:t xml:space="preserve">All variables + assumptions/simplifications</w:t>
            </w:r>
          </w:p>
        </w:tc>
        <w:tc>
          <w:tcPr/>
          <w:p>
            <w:pPr>
              <w:pStyle w:val="Compact"/>
            </w:pPr>
            <w:r>
              <w:t xml:space="preserve">PRESENT</w:t>
            </w:r>
          </w:p>
        </w:tc>
        <w:tc>
          <w:tcPr/>
          <w:p>
            <w:pPr>
              <w:pStyle w:val="Compact"/>
            </w:pPr>
            <w:r>
              <w:t xml:space="preserve">Methods</w:t>
            </w:r>
          </w:p>
        </w:tc>
        <w:tc>
          <w:tcPr/>
          <w:p>
            <w:pPr>
              <w:pStyle w:val="Compact"/>
            </w:pPr>
            <w:r>
              <w:t xml:space="preserve">2×2 + study-level variables listed; ITD assumption explicit; 0.5 continuity correction stated.</w:t>
            </w:r>
          </w:p>
        </w:tc>
      </w:tr>
      <w:tr>
        <w:tc>
          <w:tcPr/>
          <w:p>
            <w:pPr>
              <w:pStyle w:val="Compact"/>
            </w:pPr>
            <w:r>
              <w:t xml:space="preserve">12</w:t>
            </w:r>
          </w:p>
        </w:tc>
        <w:tc>
          <w:tcPr/>
          <w:p>
            <w:pPr>
              <w:pStyle w:val="Compact"/>
            </w:pPr>
            <w:r>
              <w:t xml:space="preserve">Methods – Risk of bias</w:t>
            </w:r>
          </w:p>
        </w:tc>
        <w:tc>
          <w:tcPr/>
          <w:p>
            <w:pPr>
              <w:pStyle w:val="Compact"/>
            </w:pPr>
            <w:r>
              <w:t xml:space="preserve">RoB method + use in synthesis</w:t>
            </w:r>
          </w:p>
        </w:tc>
        <w:tc>
          <w:tcPr/>
          <w:p>
            <w:pPr>
              <w:pStyle w:val="Compact"/>
            </w:pPr>
            <w:r>
              <w:t xml:space="preserve">PRESENT</w:t>
            </w:r>
          </w:p>
        </w:tc>
        <w:tc>
          <w:tcPr/>
          <w:p>
            <w:pPr>
              <w:pStyle w:val="Compact"/>
            </w:pPr>
            <w:r>
              <w:t xml:space="preserve">Methods</w:t>
            </w:r>
          </w:p>
        </w:tc>
        <w:tc>
          <w:tcPr/>
          <w:p>
            <w:pPr>
              <w:pStyle w:val="Compact"/>
            </w:pPr>
            <w:r>
              <w:t xml:space="preserve">QUADAS-2 dual-reviewer (Reviewer 1 + Reviewer 2) with pre-specified consecutive/random-sampling rule for Domain 1. All 22 studies retained in primary analysis regardless of RoB rating. Low/unclear-risk restricted sensitivity analysis was pre-specified but not performed because all 22 studies rated high risk for Domain 4.</w:t>
            </w:r>
          </w:p>
        </w:tc>
      </w:tr>
      <w:tr>
        <w:tc>
          <w:tcPr/>
          <w:p>
            <w:pPr>
              <w:pStyle w:val="Compact"/>
            </w:pPr>
            <w:r>
              <w:t xml:space="preserve">13</w:t>
            </w:r>
          </w:p>
        </w:tc>
        <w:tc>
          <w:tcPr/>
          <w:p>
            <w:pPr>
              <w:pStyle w:val="Compact"/>
            </w:pPr>
            <w:r>
              <w:t xml:space="preserve">Methods – Diagnostic accuracy measures</w:t>
            </w:r>
          </w:p>
        </w:tc>
        <w:tc>
          <w:tcPr/>
          <w:p>
            <w:pPr>
              <w:pStyle w:val="Compact"/>
            </w:pPr>
            <w:r>
              <w:t xml:space="preserve">Principal measures + calculation</w:t>
            </w:r>
          </w:p>
        </w:tc>
        <w:tc>
          <w:tcPr/>
          <w:p>
            <w:pPr>
              <w:pStyle w:val="Compact"/>
            </w:pPr>
            <w:r>
              <w:t xml:space="preserve">PRESENT</w:t>
            </w:r>
          </w:p>
        </w:tc>
        <w:tc>
          <w:tcPr/>
          <w:p>
            <w:pPr>
              <w:pStyle w:val="Compact"/>
            </w:pPr>
            <w:r>
              <w:t xml:space="preserve">Methods</w:t>
            </w:r>
          </w:p>
        </w:tc>
        <w:tc>
          <w:tcPr/>
          <w:p>
            <w:pPr>
              <w:pStyle w:val="Compact"/>
            </w:pPr>
            <w:r>
              <w:t xml:space="preserve">Reitsma bivariate Sn/Sp, SROC, LR+, LR−, DOR (Table 2), GLMM with logit transform and Hartung–Knapp CI for proportion outcomes.</w:t>
            </w:r>
          </w:p>
        </w:tc>
      </w:tr>
      <w:tr>
        <w:tc>
          <w:tcPr/>
          <w:p>
            <w:pPr>
              <w:pStyle w:val="Compact"/>
            </w:pPr>
            <w:r>
              <w:t xml:space="preserve">14</w:t>
            </w:r>
          </w:p>
        </w:tc>
        <w:tc>
          <w:tcPr/>
          <w:p>
            <w:pPr>
              <w:pStyle w:val="Compact"/>
            </w:pPr>
            <w:r>
              <w:t xml:space="preserve">Methods – Synthesis</w:t>
            </w:r>
          </w:p>
        </w:tc>
        <w:tc>
          <w:tcPr/>
          <w:p>
            <w:pPr>
              <w:pStyle w:val="Compact"/>
            </w:pPr>
            <w:r>
              <w:t xml:space="preserve">Combining method + statistical consistency</w:t>
            </w:r>
          </w:p>
        </w:tc>
        <w:tc>
          <w:tcPr/>
          <w:p>
            <w:pPr>
              <w:pStyle w:val="Compact"/>
            </w:pPr>
            <w:r>
              <w:t xml:space="preserve">PRESENT</w:t>
            </w:r>
          </w:p>
        </w:tc>
        <w:tc>
          <w:tcPr/>
          <w:p>
            <w:pPr>
              <w:pStyle w:val="Compact"/>
            </w:pPr>
            <w:r>
              <w:t xml:space="preserve">Methods</w:t>
            </w:r>
          </w:p>
        </w:tc>
        <w:tc>
          <w:tcPr/>
          <w:p>
            <w:pPr>
              <w:pStyle w:val="Compact"/>
            </w:pPr>
            <w:r>
              <w:t xml:space="preserve">Bivariate Reitsma (mada 0.5.11), GLMM logit (meta 8.2-1, metafor 4.8-0), I² (Zhou–Dendukuri approach for bivariate).</w:t>
            </w:r>
          </w:p>
        </w:tc>
      </w:tr>
      <w:tr>
        <w:tc>
          <w:tcPr/>
          <w:p>
            <w:pPr>
              <w:pStyle w:val="Compact"/>
            </w:pPr>
            <w:r>
              <w:t xml:space="preserve">15</w:t>
            </w:r>
          </w:p>
        </w:tc>
        <w:tc>
          <w:tcPr/>
          <w:p>
            <w:pPr>
              <w:pStyle w:val="Compact"/>
            </w:pPr>
            <w:r>
              <w:t xml:space="preserve">Methods – Risk of bias across studies</w:t>
            </w:r>
          </w:p>
        </w:tc>
        <w:tc>
          <w:tcPr/>
          <w:p>
            <w:pPr>
              <w:pStyle w:val="Compact"/>
            </w:pPr>
            <w:r>
              <w:t xml:space="preserve">Cumulative-evidence RoB method</w:t>
            </w:r>
          </w:p>
        </w:tc>
        <w:tc>
          <w:tcPr/>
          <w:p>
            <w:pPr>
              <w:pStyle w:val="Compact"/>
            </w:pPr>
            <w:r>
              <w:t xml:space="preserve">PRESENT</w:t>
            </w:r>
          </w:p>
        </w:tc>
        <w:tc>
          <w:tcPr/>
          <w:p>
            <w:pPr>
              <w:pStyle w:val="Compact"/>
            </w:pPr>
            <w:r>
              <w:t xml:space="preserve">Methods</w:t>
            </w:r>
          </w:p>
        </w:tc>
        <w:tc>
          <w:tcPr/>
          <w:p>
            <w:pPr>
              <w:pStyle w:val="Compact"/>
            </w:pPr>
            <w:r>
              <w:t xml:space="preserve">Deeks funnel plot asymmetry test specified; temporal subgroup (pre-/post-2017) pre-registered.</w:t>
            </w:r>
          </w:p>
        </w:tc>
      </w:tr>
      <w:tr>
        <w:tc>
          <w:tcPr/>
          <w:p>
            <w:pPr>
              <w:pStyle w:val="Compact"/>
            </w:pPr>
            <w:r>
              <w:t xml:space="preserve">16</w:t>
            </w:r>
          </w:p>
        </w:tc>
        <w:tc>
          <w:tcPr/>
          <w:p>
            <w:pPr>
              <w:pStyle w:val="Compact"/>
            </w:pPr>
            <w:r>
              <w:t xml:space="preserve">Methods – Additional analyses</w:t>
            </w:r>
          </w:p>
        </w:tc>
        <w:tc>
          <w:tcPr/>
          <w:p>
            <w:pPr>
              <w:pStyle w:val="Compact"/>
            </w:pPr>
            <w:r>
              <w:t xml:space="preserve">Pre-specified additional analyses</w:t>
            </w:r>
          </w:p>
        </w:tc>
        <w:tc>
          <w:tcPr/>
          <w:p>
            <w:pPr>
              <w:pStyle w:val="Compact"/>
            </w:pPr>
            <w:r>
              <w:t xml:space="preserve">PRESENT</w:t>
            </w:r>
          </w:p>
        </w:tc>
        <w:tc>
          <w:tcPr/>
          <w:p>
            <w:pPr>
              <w:pStyle w:val="Compact"/>
            </w:pPr>
            <w:r>
              <w:t xml:space="preserve">Methods</w:t>
            </w:r>
          </w:p>
        </w:tc>
        <w:tc>
          <w:tcPr/>
          <w:p>
            <w:pPr>
              <w:pStyle w:val="Compact"/>
            </w:pPr>
            <w:r>
              <w:t xml:space="preserve">Two subgroup analyses pre-specified (pre/post-2017 temporal; advanced vs conventional CBCT); two sensitivity analyses (Lee 2014 exclusion; 2017+ restriction). ITD-only sensitivity analysis disclosed as post-hoc and filed as a PROSPERO amendment.</w:t>
            </w:r>
          </w:p>
        </w:tc>
      </w:tr>
      <w:tr>
        <w:tc>
          <w:tcPr/>
          <w:p>
            <w:pPr>
              <w:pStyle w:val="Compact"/>
            </w:pPr>
            <w:r>
              <w:t xml:space="preserve">17</w:t>
            </w:r>
          </w:p>
        </w:tc>
        <w:tc>
          <w:tcPr/>
          <w:p>
            <w:pPr>
              <w:pStyle w:val="Compact"/>
            </w:pPr>
            <w:r>
              <w:t xml:space="preserve">Results – Study selection</w:t>
            </w:r>
          </w:p>
        </w:tc>
        <w:tc>
          <w:tcPr/>
          <w:p>
            <w:pPr>
              <w:pStyle w:val="Compact"/>
            </w:pPr>
            <w:r>
              <w:t xml:space="preserve">Flow numbers at each stage</w:t>
            </w:r>
          </w:p>
        </w:tc>
        <w:tc>
          <w:tcPr/>
          <w:p>
            <w:pPr>
              <w:pStyle w:val="Compact"/>
            </w:pPr>
            <w:r>
              <w:t xml:space="preserve">PRESENT</w:t>
            </w:r>
          </w:p>
        </w:tc>
        <w:tc>
          <w:tcPr/>
          <w:p>
            <w:pPr>
              <w:pStyle w:val="Compact"/>
            </w:pPr>
            <w:r>
              <w:t xml:space="preserve">Results; Figure 1</w:t>
            </w:r>
          </w:p>
        </w:tc>
        <w:tc>
          <w:tcPr/>
          <w:p>
            <w:pPr>
              <w:pStyle w:val="Compact"/>
            </w:pPr>
            <w:r>
              <w:t xml:space="preserve">1,057 identified → 906 screened → 78 full-text → 54 FT-excluded → 24 qualitative → 22 bivariate + 2 narrative-only. Exclusion reasons E1–E5 and F5–F9 with per-record codes in Supplementary Material 3.</w:t>
            </w:r>
          </w:p>
        </w:tc>
      </w:tr>
      <w:tr>
        <w:tc>
          <w:tcPr/>
          <w:p>
            <w:pPr>
              <w:pStyle w:val="Compact"/>
            </w:pPr>
            <w:r>
              <w:t xml:space="preserve">18</w:t>
            </w:r>
          </w:p>
        </w:tc>
        <w:tc>
          <w:tcPr/>
          <w:p>
            <w:pPr>
              <w:pStyle w:val="Compact"/>
            </w:pPr>
            <w:r>
              <w:t xml:space="preserve">Results – Study characteristics</w:t>
            </w:r>
          </w:p>
        </w:tc>
        <w:tc>
          <w:tcPr/>
          <w:p>
            <w:pPr>
              <w:pStyle w:val="Compact"/>
            </w:pPr>
            <w:r>
              <w:t xml:space="preserve">Per-study characteristics + citations</w:t>
            </w:r>
          </w:p>
        </w:tc>
        <w:tc>
          <w:tcPr/>
          <w:p>
            <w:pPr>
              <w:pStyle w:val="Compact"/>
            </w:pPr>
            <w:r>
              <w:t xml:space="preserve">PRESENT</w:t>
            </w:r>
          </w:p>
        </w:tc>
        <w:tc>
          <w:tcPr/>
          <w:p>
            <w:pPr>
              <w:pStyle w:val="Compact"/>
            </w:pPr>
            <w:r>
              <w:t xml:space="preserve">Results; Table 1; References 1–22</w:t>
            </w:r>
          </w:p>
        </w:tc>
        <w:tc>
          <w:tcPr/>
          <w:p>
            <w:pPr>
              <w:pStyle w:val="Compact"/>
            </w:pPr>
            <w:r>
              <w:t xml:space="preserve">Country, design, N, CBCT vendor, needle type with full citations (PMIDs).</w:t>
            </w:r>
          </w:p>
        </w:tc>
      </w:tr>
      <w:tr>
        <w:tc>
          <w:tcPr/>
          <w:p>
            <w:pPr>
              <w:pStyle w:val="Compact"/>
            </w:pPr>
            <w:r>
              <w:t xml:space="preserve">19</w:t>
            </w:r>
          </w:p>
        </w:tc>
        <w:tc>
          <w:tcPr/>
          <w:p>
            <w:pPr>
              <w:pStyle w:val="Compact"/>
            </w:pPr>
            <w:r>
              <w:t xml:space="preserve">Results – Risk of bias within studies</w:t>
            </w:r>
          </w:p>
        </w:tc>
        <w:tc>
          <w:tcPr/>
          <w:p>
            <w:pPr>
              <w:pStyle w:val="Compact"/>
            </w:pPr>
            <w:r>
              <w:t xml:space="preserve">Per-study RoB presented</w:t>
            </w:r>
          </w:p>
        </w:tc>
        <w:tc>
          <w:tcPr/>
          <w:p>
            <w:pPr>
              <w:pStyle w:val="Compact"/>
            </w:pPr>
            <w:r>
              <w:t xml:space="preserve">PRESENT</w:t>
            </w:r>
          </w:p>
        </w:tc>
        <w:tc>
          <w:tcPr/>
          <w:p>
            <w:pPr>
              <w:pStyle w:val="Compact"/>
            </w:pPr>
            <w:r>
              <w:t xml:space="preserve">Methods; Supplementary Material 5; Figures 5–6</w:t>
            </w:r>
          </w:p>
        </w:tc>
        <w:tc>
          <w:tcPr/>
          <w:p>
            <w:pPr>
              <w:pStyle w:val="Compact"/>
            </w:pPr>
            <w:r>
              <w:t xml:space="preserve">Dual independent adjudication was completed (Yuan 2026, added during late screening, was independently dual-rated). Consensus aggregate: D1 14L/8U; D2 21L/1U; D3 22L; D4 22H (differential verification universal). Per-domain Cohen’s κ: D1 = 0.091, D2–D4 = 1.000 (10 D1 disagreements resolved by pre-specified rule). Per-study traffic-light figure + summary barplot via</w:t>
            </w:r>
            <w:r>
              <w:t xml:space="preserve"> </w:t>
            </w:r>
            <w:r>
              <w:rPr>
                <w:rStyle w:val="VerbatimChar"/>
              </w:rPr>
              <w:t xml:space="preserve">robvis</w:t>
            </w:r>
            <w:r>
              <w:t xml:space="preserve">.</w:t>
            </w:r>
          </w:p>
        </w:tc>
      </w:tr>
      <w:tr>
        <w:tc>
          <w:tcPr/>
          <w:p>
            <w:pPr>
              <w:pStyle w:val="Compact"/>
            </w:pPr>
            <w:r>
              <w:t xml:space="preserve">20</w:t>
            </w:r>
          </w:p>
        </w:tc>
        <w:tc>
          <w:tcPr/>
          <w:p>
            <w:pPr>
              <w:pStyle w:val="Compact"/>
            </w:pPr>
            <w:r>
              <w:t xml:space="preserve">Results – Individual study results</w:t>
            </w:r>
          </w:p>
        </w:tc>
        <w:tc>
          <w:tcPr/>
          <w:p>
            <w:pPr>
              <w:pStyle w:val="Compact"/>
            </w:pPr>
            <w:r>
              <w:t xml:space="preserve">2×2 data + CIs per study</w:t>
            </w:r>
          </w:p>
        </w:tc>
        <w:tc>
          <w:tcPr/>
          <w:p>
            <w:pPr>
              <w:pStyle w:val="Compact"/>
            </w:pPr>
            <w:r>
              <w:t xml:space="preserve">PRESENT</w:t>
            </w:r>
          </w:p>
        </w:tc>
        <w:tc>
          <w:tcPr/>
          <w:p>
            <w:pPr>
              <w:pStyle w:val="Compact"/>
            </w:pPr>
            <w:r>
              <w:t xml:space="preserve">Table 1; Supplementary Material 7</w:t>
            </w:r>
          </w:p>
        </w:tc>
        <w:tc>
          <w:tcPr/>
          <w:p>
            <w:pPr>
              <w:pStyle w:val="Compact"/>
            </w:pPr>
            <w:r>
              <w:t xml:space="preserve">Table 1 gives 2×2 counts. Per-study Sn/Sp with 95% Clopper–Pearson CIs provided in Supplementary Material 7 (22 studies, total FP = 4, 19 of 22 studies report FP = 0).</w:t>
            </w:r>
          </w:p>
        </w:tc>
      </w:tr>
      <w:tr>
        <w:tc>
          <w:tcPr/>
          <w:p>
            <w:pPr>
              <w:pStyle w:val="Compact"/>
            </w:pPr>
            <w:r>
              <w:t xml:space="preserve">21</w:t>
            </w:r>
          </w:p>
        </w:tc>
        <w:tc>
          <w:tcPr/>
          <w:p>
            <w:pPr>
              <w:pStyle w:val="Compact"/>
            </w:pPr>
            <w:r>
              <w:t xml:space="preserve">Results – Synthesis of results</w:t>
            </w:r>
          </w:p>
        </w:tc>
        <w:tc>
          <w:tcPr/>
          <w:p>
            <w:pPr>
              <w:pStyle w:val="Compact"/>
            </w:pPr>
            <w:r>
              <w:t xml:space="preserve">Pooled estimates with CIs</w:t>
            </w:r>
          </w:p>
        </w:tc>
        <w:tc>
          <w:tcPr/>
          <w:p>
            <w:pPr>
              <w:pStyle w:val="Compact"/>
            </w:pPr>
            <w:r>
              <w:t xml:space="preserve">PRESENT</w:t>
            </w:r>
          </w:p>
        </w:tc>
        <w:tc>
          <w:tcPr/>
          <w:p>
            <w:pPr>
              <w:pStyle w:val="Compact"/>
            </w:pPr>
            <w:r>
              <w:t xml:space="preserve">Results; Table 2</w:t>
            </w:r>
          </w:p>
        </w:tc>
        <w:tc>
          <w:tcPr/>
          <w:p>
            <w:pPr>
              <w:pStyle w:val="Compact"/>
            </w:pPr>
            <w:r>
              <w:t xml:space="preserve">Sn 92.2% (90.4–93.7), Sp 96.7% (94.3–98.2), AUC 0.974, LR+, LR−, DOR, I² (Sn 57.4%; Sp nominally 0.0% with structural-variance-compression caveat).</w:t>
            </w:r>
          </w:p>
        </w:tc>
      </w:tr>
      <w:tr>
        <w:tc>
          <w:tcPr/>
          <w:p>
            <w:pPr>
              <w:pStyle w:val="Compact"/>
            </w:pPr>
            <w:r>
              <w:t xml:space="preserve">22</w:t>
            </w:r>
          </w:p>
        </w:tc>
        <w:tc>
          <w:tcPr/>
          <w:p>
            <w:pPr>
              <w:pStyle w:val="Compact"/>
            </w:pPr>
            <w:r>
              <w:t xml:space="preserve">Results – Risk of bias across studies</w:t>
            </w:r>
          </w:p>
        </w:tc>
        <w:tc>
          <w:tcPr/>
          <w:p>
            <w:pPr>
              <w:pStyle w:val="Compact"/>
            </w:pPr>
            <w:r>
              <w:t xml:space="preserve">Deeks/funnel results</w:t>
            </w:r>
          </w:p>
        </w:tc>
        <w:tc>
          <w:tcPr/>
          <w:p>
            <w:pPr>
              <w:pStyle w:val="Compact"/>
            </w:pPr>
            <w:r>
              <w:t xml:space="preserve">PRESENT</w:t>
            </w:r>
          </w:p>
        </w:tc>
        <w:tc>
          <w:tcPr/>
          <w:p>
            <w:pPr>
              <w:pStyle w:val="Compact"/>
            </w:pPr>
            <w:r>
              <w:t xml:space="preserve">Results</w:t>
            </w:r>
          </w:p>
        </w:tc>
        <w:tc>
          <w:tcPr/>
          <w:p>
            <w:pPr>
              <w:pStyle w:val="Compact"/>
            </w:pPr>
            <w:r>
              <w:t xml:space="preserve">Deeks overall p &lt; 0.001; pre-2017 (k = 10) p = 0.001; post-2017 (k = 12) p = 0.279; three-cause interpretation (publication bias, methodological heterogeneity, selective outcome reporting).</w:t>
            </w:r>
          </w:p>
        </w:tc>
      </w:tr>
      <w:tr>
        <w:tc>
          <w:tcPr/>
          <w:p>
            <w:pPr>
              <w:pStyle w:val="Compact"/>
            </w:pPr>
            <w:r>
              <w:t xml:space="preserve">23</w:t>
            </w:r>
          </w:p>
        </w:tc>
        <w:tc>
          <w:tcPr/>
          <w:p>
            <w:pPr>
              <w:pStyle w:val="Compact"/>
            </w:pPr>
            <w:r>
              <w:t xml:space="preserve">Results – Additional analyses</w:t>
            </w:r>
          </w:p>
        </w:tc>
        <w:tc>
          <w:tcPr/>
          <w:p>
            <w:pPr>
              <w:pStyle w:val="Compact"/>
            </w:pPr>
            <w:r>
              <w:t xml:space="preserve">Subgroup/sensitivity/meta-regression results</w:t>
            </w:r>
          </w:p>
        </w:tc>
        <w:tc>
          <w:tcPr/>
          <w:p>
            <w:pPr>
              <w:pStyle w:val="Compact"/>
            </w:pPr>
            <w:r>
              <w:t xml:space="preserve">PRESENT</w:t>
            </w:r>
          </w:p>
        </w:tc>
        <w:tc>
          <w:tcPr/>
          <w:p>
            <w:pPr>
              <w:pStyle w:val="Compact"/>
            </w:pPr>
            <w:r>
              <w:t xml:space="preserve">Results</w:t>
            </w:r>
          </w:p>
        </w:tc>
        <w:tc>
          <w:tcPr/>
          <w:p>
            <w:pPr>
              <w:pStyle w:val="Compact"/>
            </w:pPr>
            <w:r>
              <w:t xml:space="preserve">Sensitivity (Lee 2014 excluded, k = 21, N = 2,592): Sn 91.8, Sp 96.3, AUC 0.977. ITD-only (k = 18, N = 3,054): Sn 92.3, Sp 96.2, AUC 0.973. Threshold: Spearman ρ = −0.002 (p = 0.994). Temporal subgroup reported as Deeks-asymmetry-only analysis.</w:t>
            </w:r>
          </w:p>
        </w:tc>
      </w:tr>
      <w:tr>
        <w:tc>
          <w:tcPr/>
          <w:p>
            <w:pPr>
              <w:pStyle w:val="Compact"/>
            </w:pPr>
            <w:r>
              <w:t xml:space="preserve">24</w:t>
            </w:r>
          </w:p>
        </w:tc>
        <w:tc>
          <w:tcPr/>
          <w:p>
            <w:pPr>
              <w:pStyle w:val="Compact"/>
            </w:pPr>
            <w:r>
              <w:t xml:space="preserve">Discussion – Summary</w:t>
            </w:r>
          </w:p>
        </w:tc>
        <w:tc>
          <w:tcPr/>
          <w:p>
            <w:pPr>
              <w:pStyle w:val="Compact"/>
            </w:pPr>
            <w:r>
              <w:t xml:space="preserve">Main findings + strength of evidence</w:t>
            </w:r>
          </w:p>
        </w:tc>
        <w:tc>
          <w:tcPr/>
          <w:p>
            <w:pPr>
              <w:pStyle w:val="Compact"/>
            </w:pPr>
            <w:r>
              <w:t xml:space="preserve">PRESENT</w:t>
            </w:r>
          </w:p>
        </w:tc>
        <w:tc>
          <w:tcPr/>
          <w:p>
            <w:pPr>
              <w:pStyle w:val="Compact"/>
            </w:pPr>
            <w:r>
              <w:t xml:space="preserve">Discussion</w:t>
            </w:r>
          </w:p>
        </w:tc>
        <w:tc>
          <w:tcPr/>
          <w:p>
            <w:pPr>
              <w:pStyle w:val="Compact"/>
            </w:pPr>
            <w:r>
              <w:t xml:space="preserve">Pooled Sn/Sp/AUC restated; comparison with Yan 2017 quantified; specificity framed as plausible upper bound.</w:t>
            </w:r>
          </w:p>
        </w:tc>
      </w:tr>
      <w:tr>
        <w:tc>
          <w:tcPr/>
          <w:p>
            <w:pPr>
              <w:pStyle w:val="Compact"/>
            </w:pPr>
            <w:r>
              <w:t xml:space="preserve">25</w:t>
            </w:r>
          </w:p>
        </w:tc>
        <w:tc>
          <w:tcPr/>
          <w:p>
            <w:pPr>
              <w:pStyle w:val="Compact"/>
            </w:pPr>
            <w:r>
              <w:t xml:space="preserve">Discussion – Limitations</w:t>
            </w:r>
          </w:p>
        </w:tc>
        <w:tc>
          <w:tcPr/>
          <w:p>
            <w:pPr>
              <w:pStyle w:val="Compact"/>
            </w:pPr>
            <w:r>
              <w:t xml:space="preserve">Study-/outcome-/review-level</w:t>
            </w:r>
          </w:p>
        </w:tc>
        <w:tc>
          <w:tcPr/>
          <w:p>
            <w:pPr>
              <w:pStyle w:val="Compact"/>
            </w:pPr>
            <w:r>
              <w:t xml:space="preserve">PRESENT</w:t>
            </w:r>
          </w:p>
        </w:tc>
        <w:tc>
          <w:tcPr/>
          <w:p>
            <w:pPr>
              <w:pStyle w:val="Compact"/>
            </w:pPr>
            <w:r>
              <w:t xml:space="preserve">Discussion</w:t>
            </w:r>
          </w:p>
        </w:tc>
        <w:tc>
          <w:tcPr/>
          <w:p>
            <w:pPr>
              <w:pStyle w:val="Compact"/>
            </w:pPr>
            <w:r>
              <w:t xml:space="preserve">Eight limitations: narrative-only fraction, retrospective preponderance, universal differential verification with specificity upper-bound framing, Deeks asymmetry, Sn heterogeneity with ITD-only attenuation, database coverage (PubMed + Embase; Cochrane CENTRAL amendment filed), six-month follow-up threshold, cell-level dual-extraction reconciliation audit.</w:t>
            </w:r>
          </w:p>
        </w:tc>
      </w:tr>
      <w:tr>
        <w:tc>
          <w:tcPr/>
          <w:p>
            <w:pPr>
              <w:pStyle w:val="Compact"/>
            </w:pPr>
            <w:r>
              <w:t xml:space="preserve">26</w:t>
            </w:r>
          </w:p>
        </w:tc>
        <w:tc>
          <w:tcPr/>
          <w:p>
            <w:pPr>
              <w:pStyle w:val="Compact"/>
            </w:pPr>
            <w:r>
              <w:t xml:space="preserve">Discussion – Conclusions</w:t>
            </w:r>
          </w:p>
        </w:tc>
        <w:tc>
          <w:tcPr/>
          <w:p>
            <w:pPr>
              <w:pStyle w:val="Compact"/>
            </w:pPr>
            <w:r>
              <w:t xml:space="preserve">Interpretation + implications for future research</w:t>
            </w:r>
          </w:p>
        </w:tc>
        <w:tc>
          <w:tcPr/>
          <w:p>
            <w:pPr>
              <w:pStyle w:val="Compact"/>
            </w:pPr>
            <w:r>
              <w:t xml:space="preserve">PRESENT</w:t>
            </w:r>
          </w:p>
        </w:tc>
        <w:tc>
          <w:tcPr/>
          <w:p>
            <w:pPr>
              <w:pStyle w:val="Compact"/>
            </w:pPr>
            <w:r>
              <w:t xml:space="preserve">Conclusion</w:t>
            </w:r>
          </w:p>
        </w:tc>
        <w:tc>
          <w:tcPr/>
          <w:p>
            <w:pPr>
              <w:pStyle w:val="Compact"/>
            </w:pPr>
            <w:r>
              <w:t xml:space="preserve">Supports CBCT as guidance modality; enumerates future-research directions (prospective multicentre, head-to-head advanced-technology trials, standardized complication-rate definitions).</w:t>
            </w:r>
          </w:p>
        </w:tc>
      </w:tr>
      <w:tr>
        <w:tc>
          <w:tcPr/>
          <w:p>
            <w:pPr>
              <w:pStyle w:val="Compact"/>
            </w:pPr>
            <w:r>
              <w:t xml:space="preserve">27</w:t>
            </w:r>
          </w:p>
        </w:tc>
        <w:tc>
          <w:tcPr/>
          <w:p>
            <w:pPr>
              <w:pStyle w:val="Compact"/>
            </w:pPr>
            <w:r>
              <w:t xml:space="preserve">Funding</w:t>
            </w:r>
          </w:p>
        </w:tc>
        <w:tc>
          <w:tcPr/>
          <w:p>
            <w:pPr>
              <w:pStyle w:val="Compact"/>
            </w:pPr>
            <w:r>
              <w:t xml:space="preserve">Funding sources + funder role</w:t>
            </w:r>
          </w:p>
        </w:tc>
        <w:tc>
          <w:tcPr/>
          <w:p>
            <w:pPr>
              <w:pStyle w:val="Compact"/>
            </w:pPr>
            <w:r>
              <w:t xml:space="preserve">PRESENT</w:t>
            </w:r>
          </w:p>
        </w:tc>
        <w:tc>
          <w:tcPr/>
          <w:p>
            <w:pPr>
              <w:pStyle w:val="Compact"/>
            </w:pPr>
            <w:r>
              <w:t xml:space="preserve">Declarations</w:t>
            </w:r>
          </w:p>
        </w:tc>
        <w:tc>
          <w:tcPr/>
          <w:p>
            <w:pPr>
              <w:pStyle w:val="Compact"/>
            </w:pPr>
            <w:r>
              <w:t xml:space="preserve">“This review received no specific funding…”</w:t>
            </w:r>
            <w:r>
              <w:t xml:space="preserve"> </w:t>
            </w:r>
            <w:r>
              <w:t xml:space="preserve">+ COI statement.</w:t>
            </w:r>
          </w:p>
        </w:tc>
      </w:tr>
    </w:tbl>
    <w:p>
      <w:r>
        <w:pict>
          <v:rect style="width:0;height:1.5pt" o:hralign="center" o:hrstd="t" o:hr="t"/>
        </w:pict>
      </w:r>
    </w:p>
    <w:bookmarkEnd w:id="49"/>
    <w:bookmarkStart w:id="50" w:name="flow-number-derivation"/>
    <w:p>
      <w:pPr>
        <w:pStyle w:val="Heading3"/>
      </w:pPr>
      <w:r>
        <w:t xml:space="preserve">Flow-Number Derivation</w:t>
      </w:r>
    </w:p>
    <w:p>
      <w:pPr>
        <w:pStyle w:val="FirstParagraph"/>
      </w:pPr>
      <w:r>
        <w:t xml:space="preserve">The canonical counts (k_qualitative = 24, k_bivariate = 22, k_narrative = 2, FT-excluded = 54) were re-derived from the full-text screening records (28 INCLUDE) intersected with the consensus spreadsheet (non-Exclude), plus the FLAG-adjudicated Include-qualitative IDs (253, 474), yielding the 24-study qualitative set. The bivariate subset (22) was confirmed against the analysis dataset (k = 22; N = 3,681); the 2 narrative-only studies (Floridi C 2019; Huang 2023) were identified by subtraction from the qualitative set.</w:t>
      </w:r>
    </w:p>
    <w:bookmarkEnd w:id="50"/>
    <w:bookmarkEnd w:id="51"/>
    <w:bookmarkStart w:id="57" w:name="Xf1601f7d5f1c95ce827f0c2e066016d6a8a1047"/>
    <w:p>
      <w:pPr>
        <w:pStyle w:val="Heading1"/>
      </w:pPr>
      <w:r>
        <w:t xml:space="preserve">Supplementary Material 12. PRISMA-DTA flow diagram source data</w:t>
      </w:r>
    </w:p>
    <w:p>
      <w:pPr>
        <w:pStyle w:val="FirstParagraph"/>
      </w:pPr>
      <w:r>
        <w:t xml:space="preserve">The counts below are the tabular source data for the PRISMA-DTA flow diagram (Figure 1).</w:t>
      </w:r>
    </w:p>
    <w:bookmarkStart w:id="52" w:name="identification"/>
    <w:p>
      <w:pPr>
        <w:pStyle w:val="Heading2"/>
      </w:pPr>
      <w:r>
        <w:t xml:space="preserve">Identification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Source</w:t>
            </w:r>
          </w:p>
        </w:tc>
        <w:tc>
          <w:tcPr/>
          <w:p>
            <w:pPr>
              <w:pStyle w:val="Compact"/>
              <w:jc w:val="right"/>
            </w:pPr>
            <w:r>
              <w:t xml:space="preserve">Records</w:t>
            </w:r>
          </w:p>
        </w:tc>
      </w:tr>
      <w:tr>
        <w:tc>
          <w:tcPr/>
          <w:p>
            <w:pPr>
              <w:pStyle w:val="Compact"/>
            </w:pPr>
            <w:r>
              <w:t xml:space="preserve">PubMed</w:t>
            </w:r>
          </w:p>
        </w:tc>
        <w:tc>
          <w:tcPr/>
          <w:p>
            <w:pPr>
              <w:pStyle w:val="Compact"/>
              <w:jc w:val="right"/>
            </w:pPr>
            <w:r>
              <w:t xml:space="preserve">224</w:t>
            </w:r>
          </w:p>
        </w:tc>
      </w:tr>
      <w:tr>
        <w:tc>
          <w:tcPr/>
          <w:p>
            <w:pPr>
              <w:pStyle w:val="Compact"/>
            </w:pPr>
            <w:r>
              <w:t xml:space="preserve">Embase</w:t>
            </w:r>
          </w:p>
        </w:tc>
        <w:tc>
          <w:tcPr/>
          <w:p>
            <w:pPr>
              <w:pStyle w:val="Compact"/>
              <w:jc w:val="right"/>
            </w:pPr>
            <w:r>
              <w:t xml:space="preserve">826</w:t>
            </w:r>
          </w:p>
        </w:tc>
      </w:tr>
      <w:tr>
        <w:tc>
          <w:tcPr/>
          <w:p>
            <w:pPr>
              <w:pStyle w:val="Compact"/>
            </w:pPr>
            <w:r>
              <w:t xml:space="preserve">Cochrane CENTRAL (confirmatory; Issue 3 of 12, March 2026)</w:t>
            </w:r>
          </w:p>
        </w:tc>
        <w:tc>
          <w:tcPr/>
          <w:p>
            <w:pPr>
              <w:pStyle w:val="Compact"/>
              <w:jc w:val="right"/>
            </w:pPr>
            <w:r>
              <w:t xml:space="preserve">7</w:t>
            </w:r>
          </w:p>
        </w:tc>
      </w:tr>
      <w:tr>
        <w:tc>
          <w:tcPr/>
          <w:p>
            <w:pPr>
              <w:pStyle w:val="Compact"/>
            </w:pPr>
            <w:r>
              <w:rPr>
                <w:b/>
                <w:bCs/>
              </w:rPr>
              <w:t xml:space="preserve">Total identified</w:t>
            </w:r>
          </w:p>
        </w:tc>
        <w:tc>
          <w:tcPr/>
          <w:p>
            <w:pPr>
              <w:pStyle w:val="Compact"/>
              <w:jc w:val="right"/>
            </w:pPr>
            <w:r>
              <w:rPr>
                <w:b/>
                <w:bCs/>
              </w:rPr>
              <w:t xml:space="preserve">1,057</w:t>
            </w:r>
          </w:p>
        </w:tc>
      </w:tr>
    </w:tbl>
    <w:bookmarkEnd w:id="52"/>
    <w:bookmarkStart w:id="53" w:name="deduplication"/>
    <w:p>
      <w:pPr>
        <w:pStyle w:val="Heading2"/>
      </w:pPr>
      <w:r>
        <w:t xml:space="preserve">Deduplication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Duplicate type</w:t>
            </w:r>
          </w:p>
        </w:tc>
        <w:tc>
          <w:tcPr/>
          <w:p>
            <w:pPr>
              <w:pStyle w:val="Compact"/>
              <w:jc w:val="right"/>
            </w:pPr>
            <w:r>
              <w:t xml:space="preserve">n</w:t>
            </w:r>
          </w:p>
        </w:tc>
      </w:tr>
      <w:tr>
        <w:tc>
          <w:tcPr/>
          <w:p>
            <w:pPr>
              <w:pStyle w:val="Compact"/>
            </w:pPr>
            <w:r>
              <w:t xml:space="preserve">Intra-Embase (identical-title rows collapsed at import)</w:t>
            </w:r>
          </w:p>
        </w:tc>
        <w:tc>
          <w:tcPr/>
          <w:p>
            <w:pPr>
              <w:pStyle w:val="Compact"/>
              <w:jc w:val="right"/>
            </w:pPr>
            <w:r>
              <w:t xml:space="preserve">11</w:t>
            </w:r>
          </w:p>
        </w:tc>
      </w:tr>
      <w:tr>
        <w:tc>
          <w:tcPr/>
          <w:p>
            <w:pPr>
              <w:pStyle w:val="Compact"/>
            </w:pPr>
            <w:r>
              <w:t xml:space="preserve">PubMed–Embase cross-database overlap (PMID and title match)</w:t>
            </w:r>
          </w:p>
        </w:tc>
        <w:tc>
          <w:tcPr/>
          <w:p>
            <w:pPr>
              <w:pStyle w:val="Compact"/>
              <w:jc w:val="right"/>
            </w:pPr>
            <w:r>
              <w:t xml:space="preserve">139</w:t>
            </w:r>
          </w:p>
        </w:tc>
      </w:tr>
      <w:tr>
        <w:tc>
          <w:tcPr/>
          <w:p>
            <w:pPr>
              <w:pStyle w:val="Compact"/>
            </w:pPr>
            <w:r>
              <w:t xml:space="preserve">CENTRAL–Embase overlap (Huang 2023, retained as narrative-only)</w:t>
            </w:r>
          </w:p>
        </w:tc>
        <w:tc>
          <w:tcPr/>
          <w:p>
            <w:pPr>
              <w:pStyle w:val="Compact"/>
              <w:jc w:val="right"/>
            </w:pPr>
            <w:r>
              <w:t xml:space="preserve">1</w:t>
            </w:r>
          </w:p>
        </w:tc>
      </w:tr>
      <w:tr>
        <w:tc>
          <w:tcPr/>
          <w:p>
            <w:pPr>
              <w:pStyle w:val="Compact"/>
            </w:pPr>
            <w:r>
              <w:rPr>
                <w:b/>
                <w:bCs/>
              </w:rPr>
              <w:t xml:space="preserve">Duplicates removed</w:t>
            </w:r>
          </w:p>
        </w:tc>
        <w:tc>
          <w:tcPr/>
          <w:p>
            <w:pPr>
              <w:pStyle w:val="Compact"/>
              <w:jc w:val="right"/>
            </w:pPr>
            <w:r>
              <w:rPr>
                <w:b/>
                <w:bCs/>
              </w:rPr>
              <w:t xml:space="preserve">151</w:t>
            </w:r>
          </w:p>
        </w:tc>
      </w:tr>
      <w:tr>
        <w:tc>
          <w:tcPr/>
          <w:p>
            <w:pPr>
              <w:pStyle w:val="Compact"/>
            </w:pPr>
            <w:r>
              <w:rPr>
                <w:b/>
                <w:bCs/>
              </w:rPr>
              <w:t xml:space="preserve">Unique records screened</w:t>
            </w:r>
          </w:p>
        </w:tc>
        <w:tc>
          <w:tcPr/>
          <w:p>
            <w:pPr>
              <w:pStyle w:val="Compact"/>
              <w:jc w:val="right"/>
            </w:pPr>
            <w:r>
              <w:rPr>
                <w:b/>
                <w:bCs/>
              </w:rPr>
              <w:t xml:space="preserve">906</w:t>
            </w:r>
          </w:p>
        </w:tc>
      </w:tr>
    </w:tbl>
    <w:bookmarkEnd w:id="53"/>
    <w:bookmarkStart w:id="54" w:name="title-and-abstract-screening"/>
    <w:p>
      <w:pPr>
        <w:pStyle w:val="Heading2"/>
      </w:pPr>
      <w:r>
        <w:t xml:space="preserve">Title and abstract screening</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t xml:space="preserve">Exclusion code</w:t>
            </w:r>
          </w:p>
        </w:tc>
        <w:tc>
          <w:tcPr/>
          <w:p>
            <w:pPr>
              <w:pStyle w:val="Compact"/>
            </w:pPr>
            <w:r>
              <w:t xml:space="preserve">Reason</w:t>
            </w:r>
          </w:p>
        </w:tc>
        <w:tc>
          <w:tcPr/>
          <w:p>
            <w:pPr>
              <w:pStyle w:val="Compact"/>
              <w:jc w:val="right"/>
            </w:pPr>
            <w:r>
              <w:t xml:space="preserve">n</w:t>
            </w:r>
          </w:p>
        </w:tc>
      </w:tr>
      <w:tr>
        <w:tc>
          <w:tcPr/>
          <w:p>
            <w:pPr>
              <w:pStyle w:val="Compact"/>
            </w:pPr>
            <w:r>
              <w:t xml:space="preserve">E1</w:t>
            </w:r>
          </w:p>
        </w:tc>
        <w:tc>
          <w:tcPr/>
          <w:p>
            <w:pPr>
              <w:pStyle w:val="Compact"/>
            </w:pPr>
            <w:r>
              <w:t xml:space="preserve">Not CBCT-guided</w:t>
            </w:r>
          </w:p>
        </w:tc>
        <w:tc>
          <w:tcPr/>
          <w:p>
            <w:pPr>
              <w:pStyle w:val="Compact"/>
              <w:jc w:val="right"/>
            </w:pPr>
            <w:r>
              <w:t xml:space="preserve">252</w:t>
            </w:r>
          </w:p>
        </w:tc>
      </w:tr>
      <w:tr>
        <w:tc>
          <w:tcPr/>
          <w:p>
            <w:pPr>
              <w:pStyle w:val="Compact"/>
            </w:pPr>
            <w:r>
              <w:t xml:space="preserve">E2</w:t>
            </w:r>
          </w:p>
        </w:tc>
        <w:tc>
          <w:tcPr/>
          <w:p>
            <w:pPr>
              <w:pStyle w:val="Compact"/>
            </w:pPr>
            <w:r>
              <w:t xml:space="preserve">Bronchoscopic approach (including 1 CENTRAL electromagnetic-navigation record)</w:t>
            </w:r>
          </w:p>
        </w:tc>
        <w:tc>
          <w:tcPr/>
          <w:p>
            <w:pPr>
              <w:pStyle w:val="Compact"/>
              <w:jc w:val="right"/>
            </w:pPr>
            <w:r>
              <w:t xml:space="preserve">296</w:t>
            </w:r>
          </w:p>
        </w:tc>
      </w:tr>
      <w:tr>
        <w:tc>
          <w:tcPr/>
          <w:p>
            <w:pPr>
              <w:pStyle w:val="Compact"/>
            </w:pPr>
            <w:r>
              <w:t xml:space="preserve">E3</w:t>
            </w:r>
          </w:p>
        </w:tc>
        <w:tc>
          <w:tcPr/>
          <w:p>
            <w:pPr>
              <w:pStyle w:val="Compact"/>
            </w:pPr>
            <w:r>
              <w:t xml:space="preserve">Non-lung target</w:t>
            </w:r>
          </w:p>
        </w:tc>
        <w:tc>
          <w:tcPr/>
          <w:p>
            <w:pPr>
              <w:pStyle w:val="Compact"/>
              <w:jc w:val="right"/>
            </w:pPr>
            <w:r>
              <w:t xml:space="preserve">137</w:t>
            </w:r>
          </w:p>
        </w:tc>
      </w:tr>
      <w:tr>
        <w:tc>
          <w:tcPr/>
          <w:p>
            <w:pPr>
              <w:pStyle w:val="Compact"/>
            </w:pPr>
            <w:r>
              <w:t xml:space="preserve">E4</w:t>
            </w:r>
          </w:p>
        </w:tc>
        <w:tc>
          <w:tcPr/>
          <w:p>
            <w:pPr>
              <w:pStyle w:val="Compact"/>
            </w:pPr>
            <w:r>
              <w:t xml:space="preserve">No diagnostic outcome (including 5 CENTRAL trial-registration records)</w:t>
            </w:r>
          </w:p>
        </w:tc>
        <w:tc>
          <w:tcPr/>
          <w:p>
            <w:pPr>
              <w:pStyle w:val="Compact"/>
              <w:jc w:val="right"/>
            </w:pPr>
            <w:r>
              <w:t xml:space="preserve">69</w:t>
            </w:r>
          </w:p>
        </w:tc>
      </w:tr>
      <w:tr>
        <w:tc>
          <w:tcPr/>
          <w:p>
            <w:pPr>
              <w:pStyle w:val="Compact"/>
            </w:pPr>
            <w:r>
              <w:t xml:space="preserve">E5</w:t>
            </w:r>
          </w:p>
        </w:tc>
        <w:tc>
          <w:tcPr/>
          <w:p>
            <w:pPr>
              <w:pStyle w:val="Compact"/>
            </w:pPr>
            <w:r>
              <w:t xml:space="preserve">Publication type</w:t>
            </w:r>
          </w:p>
        </w:tc>
        <w:tc>
          <w:tcPr/>
          <w:p>
            <w:pPr>
              <w:pStyle w:val="Compact"/>
              <w:jc w:val="right"/>
            </w:pPr>
            <w:r>
              <w:t xml:space="preserve">74</w:t>
            </w:r>
          </w:p>
        </w:tc>
      </w:tr>
      <w:tr>
        <w:tc>
          <w:tcPr/>
          <w:p>
            <w:pPr>
              <w:pStyle w:val="Compact"/>
            </w:pPr>
            <w:r>
              <w:rPr>
                <w:b/>
                <w:bCs/>
              </w:rPr>
              <w:t xml:space="preserve">Excluded at title/abstract</w:t>
            </w:r>
          </w:p>
        </w:tc>
        <w:tc>
          <w:tcPr/>
          <w:p>
            <w:pPr>
              <w:pStyle w:val="Compact"/>
            </w:pPr>
          </w:p>
        </w:tc>
        <w:tc>
          <w:tcPr/>
          <w:p>
            <w:pPr>
              <w:pStyle w:val="Compact"/>
              <w:jc w:val="right"/>
            </w:pPr>
            <w:r>
              <w:rPr>
                <w:b/>
                <w:bCs/>
              </w:rPr>
              <w:t xml:space="preserve">828</w:t>
            </w:r>
          </w:p>
        </w:tc>
      </w:tr>
      <w:tr>
        <w:tc>
          <w:tcPr/>
          <w:p>
            <w:pPr>
              <w:pStyle w:val="Compact"/>
            </w:pPr>
            <w:r>
              <w:rPr>
                <w:b/>
                <w:bCs/>
              </w:rPr>
              <w:t xml:space="preserve">Retained for full-text review</w:t>
            </w:r>
          </w:p>
        </w:tc>
        <w:tc>
          <w:tcPr/>
          <w:p>
            <w:pPr>
              <w:pStyle w:val="Compact"/>
            </w:pPr>
          </w:p>
        </w:tc>
        <w:tc>
          <w:tcPr/>
          <w:p>
            <w:pPr>
              <w:pStyle w:val="Compact"/>
              <w:jc w:val="right"/>
            </w:pPr>
            <w:r>
              <w:rPr>
                <w:b/>
                <w:bCs/>
              </w:rPr>
              <w:t xml:space="preserve">78</w:t>
            </w:r>
          </w:p>
        </w:tc>
      </w:tr>
    </w:tbl>
    <w:bookmarkEnd w:id="54"/>
    <w:bookmarkStart w:id="55" w:name="full-text-eligibility"/>
    <w:p>
      <w:pPr>
        <w:pStyle w:val="Heading2"/>
      </w:pPr>
      <w:r>
        <w:t xml:space="preserve">Full-text eligibility</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t xml:space="preserve">Stage</w:t>
            </w:r>
          </w:p>
        </w:tc>
        <w:tc>
          <w:tcPr/>
          <w:p>
            <w:pPr>
              <w:pStyle w:val="Compact"/>
              <w:jc w:val="right"/>
            </w:pPr>
            <w:r>
              <w:t xml:space="preserve">n</w:t>
            </w:r>
          </w:p>
        </w:tc>
      </w:tr>
      <w:tr>
        <w:tc>
          <w:tcPr/>
          <w:p>
            <w:pPr>
              <w:pStyle w:val="Compact"/>
            </w:pPr>
            <w:r>
              <w:t xml:space="preserve">Full-text articles assessed</w:t>
            </w:r>
          </w:p>
        </w:tc>
        <w:tc>
          <w:tcPr/>
          <w:p>
            <w:pPr>
              <w:pStyle w:val="Compact"/>
              <w:jc w:val="right"/>
            </w:pPr>
            <w:r>
              <w:t xml:space="preserve">78</w:t>
            </w:r>
          </w:p>
        </w:tc>
      </w:tr>
      <w:tr>
        <w:tc>
          <w:tcPr/>
          <w:p>
            <w:pPr>
              <w:pStyle w:val="Compact"/>
            </w:pPr>
            <w:r>
              <w:t xml:space="preserve">Excluded at full-text screening</w:t>
            </w:r>
          </w:p>
        </w:tc>
        <w:tc>
          <w:tcPr/>
          <w:p>
            <w:pPr>
              <w:pStyle w:val="Compact"/>
              <w:jc w:val="right"/>
            </w:pPr>
            <w:r>
              <w:t xml:space="preserve">48</w:t>
            </w:r>
          </w:p>
        </w:tc>
      </w:tr>
      <w:tr>
        <w:tc>
          <w:tcPr/>
          <w:p>
            <w:pPr>
              <w:pStyle w:val="Compact"/>
            </w:pPr>
            <w:r>
              <w:t xml:space="preserve">Excluded at post-screening consensus (IDs 2, 55, 88, 160, 165, 180)</w:t>
            </w:r>
          </w:p>
        </w:tc>
        <w:tc>
          <w:tcPr/>
          <w:p>
            <w:pPr>
              <w:pStyle w:val="Compact"/>
              <w:jc w:val="right"/>
            </w:pPr>
            <w:r>
              <w:t xml:space="preserve">6</w:t>
            </w:r>
          </w:p>
        </w:tc>
      </w:tr>
      <w:tr>
        <w:tc>
          <w:tcPr/>
          <w:p>
            <w:pPr>
              <w:pStyle w:val="Compact"/>
            </w:pPr>
            <w:r>
              <w:rPr>
                <w:b/>
                <w:bCs/>
              </w:rPr>
              <w:t xml:space="preserve">Full-text excluded</w:t>
            </w:r>
          </w:p>
        </w:tc>
        <w:tc>
          <w:tcPr/>
          <w:p>
            <w:pPr>
              <w:pStyle w:val="Compact"/>
              <w:jc w:val="right"/>
            </w:pPr>
            <w:r>
              <w:rPr>
                <w:b/>
                <w:bCs/>
              </w:rPr>
              <w:t xml:space="preserve">54</w:t>
            </w:r>
          </w:p>
        </w:tc>
      </w:tr>
      <w:tr>
        <w:tc>
          <w:tcPr/>
          <w:p>
            <w:pPr>
              <w:pStyle w:val="Compact"/>
            </w:pPr>
            <w:r>
              <w:rPr>
                <w:b/>
                <w:bCs/>
              </w:rPr>
              <w:t xml:space="preserve">Eligible for qualitative synthesis</w:t>
            </w:r>
          </w:p>
        </w:tc>
        <w:tc>
          <w:tcPr/>
          <w:p>
            <w:pPr>
              <w:pStyle w:val="Compact"/>
              <w:jc w:val="right"/>
            </w:pPr>
            <w:r>
              <w:rPr>
                <w:b/>
                <w:bCs/>
              </w:rPr>
              <w:t xml:space="preserve">24</w:t>
            </w:r>
          </w:p>
        </w:tc>
      </w:tr>
    </w:tbl>
    <w:bookmarkEnd w:id="55"/>
    <w:bookmarkStart w:id="56" w:name="inclusion"/>
    <w:p>
      <w:pPr>
        <w:pStyle w:val="Heading2"/>
      </w:pPr>
      <w:r>
        <w:t xml:space="preserve">Inclusion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Synthesis set</w:t>
            </w:r>
          </w:p>
        </w:tc>
        <w:tc>
          <w:tcPr/>
          <w:p>
            <w:pPr>
              <w:pStyle w:val="Compact"/>
              <w:jc w:val="right"/>
            </w:pPr>
            <w:r>
              <w:t xml:space="preserve">n</w:t>
            </w:r>
          </w:p>
        </w:tc>
      </w:tr>
      <w:tr>
        <w:tc>
          <w:tcPr/>
          <w:p>
            <w:pPr>
              <w:pStyle w:val="Compact"/>
            </w:pPr>
            <w:r>
              <w:t xml:space="preserve">Qualitative synthesis</w:t>
            </w:r>
          </w:p>
        </w:tc>
        <w:tc>
          <w:tcPr/>
          <w:p>
            <w:pPr>
              <w:pStyle w:val="Compact"/>
              <w:jc w:val="right"/>
            </w:pPr>
            <w:r>
              <w:t xml:space="preserve">24</w:t>
            </w:r>
          </w:p>
        </w:tc>
      </w:tr>
      <w:tr>
        <w:tc>
          <w:tcPr/>
          <w:p>
            <w:pPr>
              <w:pStyle w:val="Compact"/>
            </w:pPr>
            <w:r>
              <w:t xml:space="preserve">Bivariate meta-analysis (two-by-two table extractable)</w:t>
            </w:r>
          </w:p>
        </w:tc>
        <w:tc>
          <w:tcPr/>
          <w:p>
            <w:pPr>
              <w:pStyle w:val="Compact"/>
              <w:jc w:val="right"/>
            </w:pPr>
            <w:r>
              <w:t xml:space="preserve">22</w:t>
            </w:r>
          </w:p>
        </w:tc>
      </w:tr>
      <w:tr>
        <w:tc>
          <w:tcPr/>
          <w:p>
            <w:pPr>
              <w:pStyle w:val="Compact"/>
            </w:pPr>
            <w:r>
              <w:t xml:space="preserve">Narrative-only (Floridi C 2019; Huang 2023)</w:t>
            </w:r>
          </w:p>
        </w:tc>
        <w:tc>
          <w:tcPr/>
          <w:p>
            <w:pPr>
              <w:pStyle w:val="Compact"/>
              <w:jc w:val="right"/>
            </w:pPr>
            <w:r>
              <w:t xml:space="preserve">2</w:t>
            </w:r>
          </w:p>
        </w:tc>
      </w:tr>
    </w:tbl>
    <w:bookmarkEnd w:id="56"/>
    <w:bookmarkEnd w:id="57"/>
    <w:bookmarkStart w:id="61" w:name="Xffcec2200f76bc0c0cc6b8a40e0f76839d3a53c"/>
    <w:p>
      <w:pPr>
        <w:pStyle w:val="Heading1"/>
      </w:pPr>
      <w:r>
        <w:t xml:space="preserve">Supplementary Material 13. Reconstruction of two-by-two contingency tables</w:t>
      </w:r>
    </w:p>
    <w:bookmarkStart w:id="58" w:name="extraction-approach"/>
    <w:p>
      <w:pPr>
        <w:pStyle w:val="Heading2"/>
      </w:pPr>
      <w:r>
        <w:t xml:space="preserve">Extraction approach</w:t>
      </w:r>
    </w:p>
    <w:p>
      <w:pPr>
        <w:pStyle w:val="FirstParagraph"/>
      </w:pPr>
      <w:r>
        <w:t xml:space="preserve">Two reviewers independently extracted two-by-two diagnostic accuracy data (true positives [TP], false positives [FP], false negatives [FN], and true negatives [TN]) from each included study using a three-level hierarchy: (1) directly reported cell counts; (2) reported sensitivity and specificity together with the malignant and benign denominators; and (3) diagnostic yield with sample size and disease prevalence. For 8 of the 22 studies the primary report did not provide raw cell counts and the two-by-two table was reconstructed by back-calculation from the reported sensitivity, specificity, and malignant or benign denominators. Each reconstructed table was checked independently against the primary source, and discrepancies were resolved by consensus. The remaining 14 studies reported cell counts or directly derivable case counts and required no reconstruction.</w:t>
      </w:r>
    </w:p>
    <w:p>
      <w:pPr>
        <w:pStyle w:val="BodyText"/>
      </w:pPr>
      <w:r>
        <w:t xml:space="preserve">After consensus reconciliation, a cell-level audit was performed against the primary-source articles for all 88 cells (22 studies x 4 cells). The post-consensus agreement was 100% (88 of 88 cells).</w:t>
      </w:r>
    </w:p>
    <w:bookmarkEnd w:id="58"/>
    <w:bookmarkStart w:id="59" w:name="Xc9ea6eb1dec73944f7a31471691e78e168dde26"/>
    <w:p>
      <w:pPr>
        <w:pStyle w:val="Heading2"/>
      </w:pPr>
      <w:r>
        <w:t xml:space="preserve">Table S13.1. Studies requiring two-by-two reconstruction (n = 8)</w:t>
      </w:r>
    </w:p>
    <w:tbl>
      <w:tblPr>
        <w:tblStyle w:val="Table"/>
        <w:tblW w:type="pct" w:w="5000"/>
        <w:tblLayout w:type="fixed"/>
        <w:tblLook w:firstRow="1" w:lastRow="0" w:firstColumn="0" w:lastColumn="0" w:noHBand="0" w:noVBand="0" w:val="0020"/>
      </w:tblPr>
      <w:tblGrid>
        <w:gridCol w:w="766"/>
        <w:gridCol w:w="766"/>
        <w:gridCol w:w="766"/>
        <w:gridCol w:w="766"/>
        <w:gridCol w:w="1021"/>
        <w:gridCol w:w="1021"/>
        <w:gridCol w:w="1021"/>
        <w:gridCol w:w="1021"/>
        <w:gridCol w:w="766"/>
      </w:tblGrid>
      <w:tr>
        <w:trPr>
          <w:tblHeader w:val="on"/>
        </w:trPr>
        <w:tc>
          <w:tcPr/>
          <w:p>
            <w:pPr>
              <w:pStyle w:val="Compact"/>
            </w:pPr>
            <w:r>
              <w:t xml:space="preserve">Study</w:t>
            </w:r>
          </w:p>
        </w:tc>
        <w:tc>
          <w:tcPr/>
          <w:p>
            <w:pPr>
              <w:pStyle w:val="Compact"/>
            </w:pPr>
            <w:r>
              <w:t xml:space="preserve">Analysed cohort</w:t>
            </w:r>
          </w:p>
        </w:tc>
        <w:tc>
          <w:tcPr/>
          <w:p>
            <w:pPr>
              <w:pStyle w:val="Compact"/>
            </w:pPr>
            <w:r>
              <w:t xml:space="preserve">Reported accuracy</w:t>
            </w:r>
          </w:p>
        </w:tc>
        <w:tc>
          <w:tcPr/>
          <w:p>
            <w:pPr>
              <w:pStyle w:val="Compact"/>
            </w:pPr>
            <w:r>
              <w:t xml:space="preserve">Malignant / benign (n)</w:t>
            </w:r>
          </w:p>
        </w:tc>
        <w:tc>
          <w:tcPr/>
          <w:p>
            <w:pPr>
              <w:pStyle w:val="Compact"/>
              <w:jc w:val="right"/>
            </w:pPr>
            <w:r>
              <w:t xml:space="preserve">TP</w:t>
            </w:r>
          </w:p>
        </w:tc>
        <w:tc>
          <w:tcPr/>
          <w:p>
            <w:pPr>
              <w:pStyle w:val="Compact"/>
              <w:jc w:val="right"/>
            </w:pPr>
            <w:r>
              <w:t xml:space="preserve">FP</w:t>
            </w:r>
          </w:p>
        </w:tc>
        <w:tc>
          <w:tcPr/>
          <w:p>
            <w:pPr>
              <w:pStyle w:val="Compact"/>
              <w:jc w:val="right"/>
            </w:pPr>
            <w:r>
              <w:t xml:space="preserve">FN</w:t>
            </w:r>
          </w:p>
        </w:tc>
        <w:tc>
          <w:tcPr/>
          <w:p>
            <w:pPr>
              <w:pStyle w:val="Compact"/>
              <w:jc w:val="right"/>
            </w:pPr>
            <w:r>
              <w:t xml:space="preserve">TN</w:t>
            </w:r>
          </w:p>
        </w:tc>
        <w:tc>
          <w:tcPr/>
          <w:p>
            <w:pPr>
              <w:pStyle w:val="Compact"/>
            </w:pPr>
            <w:r>
              <w:t xml:space="preserve">Source</w:t>
            </w:r>
          </w:p>
        </w:tc>
      </w:tr>
      <w:tr>
        <w:tc>
          <w:tcPr/>
          <w:p>
            <w:pPr>
              <w:pStyle w:val="Compact"/>
            </w:pPr>
            <w:r>
              <w:t xml:space="preserve">Rotolo 2016</w:t>
            </w:r>
          </w:p>
        </w:tc>
        <w:tc>
          <w:tcPr/>
          <w:p>
            <w:pPr>
              <w:pStyle w:val="Compact"/>
            </w:pPr>
            <w:r>
              <w:t xml:space="preserve">CBCT arm</w:t>
            </w:r>
          </w:p>
        </w:tc>
        <w:tc>
          <w:tcPr/>
          <w:p>
            <w:pPr>
              <w:pStyle w:val="Compact"/>
            </w:pPr>
            <w:r>
              <w:t xml:space="preserve">Sn 87.0%, Sp 100%</w:t>
            </w:r>
          </w:p>
        </w:tc>
        <w:tc>
          <w:tcPr/>
          <w:p>
            <w:pPr>
              <w:pStyle w:val="Compact"/>
            </w:pPr>
            <w:r>
              <w:t xml:space="preserve">74 / 29</w:t>
            </w:r>
          </w:p>
        </w:tc>
        <w:tc>
          <w:tcPr/>
          <w:p>
            <w:pPr>
              <w:pStyle w:val="Compact"/>
              <w:jc w:val="right"/>
            </w:pPr>
            <w:r>
              <w:t xml:space="preserve">64</w:t>
            </w:r>
          </w:p>
        </w:tc>
        <w:tc>
          <w:tcPr/>
          <w:p>
            <w:pPr>
              <w:pStyle w:val="Compact"/>
              <w:jc w:val="right"/>
            </w:pPr>
            <w:r>
              <w:t xml:space="preserve">0</w:t>
            </w:r>
          </w:p>
        </w:tc>
        <w:tc>
          <w:tcPr/>
          <w:p>
            <w:pPr>
              <w:pStyle w:val="Compact"/>
              <w:jc w:val="right"/>
            </w:pPr>
            <w:r>
              <w:t xml:space="preserve">10</w:t>
            </w:r>
          </w:p>
        </w:tc>
        <w:tc>
          <w:tcPr/>
          <w:p>
            <w:pPr>
              <w:pStyle w:val="Compact"/>
              <w:jc w:val="right"/>
            </w:pPr>
            <w:r>
              <w:t xml:space="preserve">29</w:t>
            </w:r>
          </w:p>
        </w:tc>
        <w:tc>
          <w:tcPr/>
          <w:p>
            <w:pPr>
              <w:pStyle w:val="Compact"/>
            </w:pPr>
            <w:r>
              <w:t xml:space="preserve">Table 3, p. 6</w:t>
            </w:r>
          </w:p>
        </w:tc>
      </w:tr>
      <w:tr>
        <w:tc>
          <w:tcPr/>
          <w:p>
            <w:pPr>
              <w:pStyle w:val="Compact"/>
            </w:pPr>
            <w:r>
              <w:t xml:space="preserve">Floridi 2014</w:t>
            </w:r>
          </w:p>
        </w:tc>
        <w:tc>
          <w:tcPr/>
          <w:p>
            <w:pPr>
              <w:pStyle w:val="Compact"/>
            </w:pPr>
            <w:r>
              <w:t xml:space="preserve">Full cohort</w:t>
            </w:r>
          </w:p>
        </w:tc>
        <w:tc>
          <w:tcPr/>
          <w:p>
            <w:pPr>
              <w:pStyle w:val="Compact"/>
            </w:pPr>
            <w:r>
              <w:t xml:space="preserve">Sn 90.9%, Sp 100%, accuracy 92.6%</w:t>
            </w:r>
          </w:p>
        </w:tc>
        <w:tc>
          <w:tcPr/>
          <w:p>
            <w:pPr>
              <w:pStyle w:val="Compact"/>
            </w:pPr>
            <w:r>
              <w:t xml:space="preserve">75 / 20</w:t>
            </w:r>
          </w:p>
        </w:tc>
        <w:tc>
          <w:tcPr/>
          <w:p>
            <w:pPr>
              <w:pStyle w:val="Compact"/>
              <w:jc w:val="right"/>
            </w:pPr>
            <w:r>
              <w:t xml:space="preserve">68</w:t>
            </w:r>
          </w:p>
        </w:tc>
        <w:tc>
          <w:tcPr/>
          <w:p>
            <w:pPr>
              <w:pStyle w:val="Compact"/>
              <w:jc w:val="right"/>
            </w:pPr>
            <w:r>
              <w:t xml:space="preserve">0</w:t>
            </w:r>
          </w:p>
        </w:tc>
        <w:tc>
          <w:tcPr/>
          <w:p>
            <w:pPr>
              <w:pStyle w:val="Compact"/>
              <w:jc w:val="right"/>
            </w:pPr>
            <w:r>
              <w:t xml:space="preserve">7</w:t>
            </w:r>
          </w:p>
        </w:tc>
        <w:tc>
          <w:tcPr/>
          <w:p>
            <w:pPr>
              <w:pStyle w:val="Compact"/>
              <w:jc w:val="right"/>
            </w:pPr>
            <w:r>
              <w:t xml:space="preserve">20</w:t>
            </w:r>
          </w:p>
        </w:tc>
        <w:tc>
          <w:tcPr/>
          <w:p>
            <w:pPr>
              <w:pStyle w:val="Compact"/>
            </w:pPr>
            <w:r>
              <w:t xml:space="preserve">Results, p. 5</w:t>
            </w:r>
          </w:p>
        </w:tc>
      </w:tr>
      <w:tr>
        <w:tc>
          <w:tcPr/>
          <w:p>
            <w:pPr>
              <w:pStyle w:val="Compact"/>
            </w:pPr>
            <w:r>
              <w:t xml:space="preserve">Zou 2024</w:t>
            </w:r>
          </w:p>
        </w:tc>
        <w:tc>
          <w:tcPr/>
          <w:p>
            <w:pPr>
              <w:pStyle w:val="Compact"/>
            </w:pPr>
            <w:r>
              <w:t xml:space="preserve">CBCT arm</w:t>
            </w:r>
          </w:p>
        </w:tc>
        <w:tc>
          <w:tcPr/>
          <w:p>
            <w:pPr>
              <w:pStyle w:val="Compact"/>
            </w:pPr>
            <w:r>
              <w:t xml:space="preserve">Sn 92.8%, Sp 100%</w:t>
            </w:r>
          </w:p>
        </w:tc>
        <w:tc>
          <w:tcPr/>
          <w:p>
            <w:pPr>
              <w:pStyle w:val="Compact"/>
            </w:pPr>
            <w:r>
              <w:t xml:space="preserve">139 / 22</w:t>
            </w:r>
          </w:p>
        </w:tc>
        <w:tc>
          <w:tcPr/>
          <w:p>
            <w:pPr>
              <w:pStyle w:val="Compact"/>
              <w:jc w:val="right"/>
            </w:pPr>
            <w:r>
              <w:t xml:space="preserve">129</w:t>
            </w:r>
          </w:p>
        </w:tc>
        <w:tc>
          <w:tcPr/>
          <w:p>
            <w:pPr>
              <w:pStyle w:val="Compact"/>
              <w:jc w:val="right"/>
            </w:pPr>
            <w:r>
              <w:t xml:space="preserve">0</w:t>
            </w:r>
          </w:p>
        </w:tc>
        <w:tc>
          <w:tcPr/>
          <w:p>
            <w:pPr>
              <w:pStyle w:val="Compact"/>
              <w:jc w:val="right"/>
            </w:pPr>
            <w:r>
              <w:t xml:space="preserve">10</w:t>
            </w:r>
          </w:p>
        </w:tc>
        <w:tc>
          <w:tcPr/>
          <w:p>
            <w:pPr>
              <w:pStyle w:val="Compact"/>
              <w:jc w:val="right"/>
            </w:pPr>
            <w:r>
              <w:t xml:space="preserve">22</w:t>
            </w:r>
          </w:p>
        </w:tc>
        <w:tc>
          <w:tcPr/>
          <w:p>
            <w:pPr>
              <w:pStyle w:val="Compact"/>
            </w:pPr>
            <w:r>
              <w:t xml:space="preserve">Table 2, p. 6484</w:t>
            </w:r>
          </w:p>
        </w:tc>
      </w:tr>
      <w:tr>
        <w:tc>
          <w:tcPr/>
          <w:p>
            <w:pPr>
              <w:pStyle w:val="Compact"/>
            </w:pPr>
            <w:r>
              <w:t xml:space="preserve">Akkakrisee 2020</w:t>
            </w:r>
          </w:p>
        </w:tc>
        <w:tc>
          <w:tcPr/>
          <w:p>
            <w:pPr>
              <w:pStyle w:val="Compact"/>
            </w:pPr>
            <w:r>
              <w:t xml:space="preserve">CBCT arm</w:t>
            </w:r>
          </w:p>
        </w:tc>
        <w:tc>
          <w:tcPr/>
          <w:p>
            <w:pPr>
              <w:pStyle w:val="Compact"/>
            </w:pPr>
            <w:r>
              <w:t xml:space="preserve">Sn 93.3%, Sp 100%</w:t>
            </w:r>
          </w:p>
        </w:tc>
        <w:tc>
          <w:tcPr/>
          <w:p>
            <w:pPr>
              <w:pStyle w:val="Compact"/>
            </w:pPr>
            <w:r>
              <w:t xml:space="preserve">75 / 25</w:t>
            </w:r>
          </w:p>
        </w:tc>
        <w:tc>
          <w:tcPr/>
          <w:p>
            <w:pPr>
              <w:pStyle w:val="Compact"/>
              <w:jc w:val="right"/>
            </w:pPr>
            <w:r>
              <w:t xml:space="preserve">70</w:t>
            </w:r>
          </w:p>
        </w:tc>
        <w:tc>
          <w:tcPr/>
          <w:p>
            <w:pPr>
              <w:pStyle w:val="Compact"/>
              <w:jc w:val="right"/>
            </w:pPr>
            <w:r>
              <w:t xml:space="preserve">0</w:t>
            </w:r>
          </w:p>
        </w:tc>
        <w:tc>
          <w:tcPr/>
          <w:p>
            <w:pPr>
              <w:pStyle w:val="Compact"/>
              <w:jc w:val="right"/>
            </w:pPr>
            <w:r>
              <w:t xml:space="preserve">5</w:t>
            </w:r>
          </w:p>
        </w:tc>
        <w:tc>
          <w:tcPr/>
          <w:p>
            <w:pPr>
              <w:pStyle w:val="Compact"/>
              <w:jc w:val="right"/>
            </w:pPr>
            <w:r>
              <w:t xml:space="preserve">25</w:t>
            </w:r>
          </w:p>
        </w:tc>
        <w:tc>
          <w:tcPr/>
          <w:p>
            <w:pPr>
              <w:pStyle w:val="Compact"/>
            </w:pPr>
            <w:r>
              <w:t xml:space="preserve">Tables 3–4, p. e313</w:t>
            </w:r>
          </w:p>
        </w:tc>
      </w:tr>
      <w:tr>
        <w:tc>
          <w:tcPr/>
          <w:p>
            <w:pPr>
              <w:pStyle w:val="Compact"/>
            </w:pPr>
            <w:r>
              <w:t xml:space="preserve">Lee WJ 2012</w:t>
            </w:r>
          </w:p>
        </w:tc>
        <w:tc>
          <w:tcPr/>
          <w:p>
            <w:pPr>
              <w:pStyle w:val="Compact"/>
            </w:pPr>
            <w:r>
              <w:t xml:space="preserve">Fine-needle-aspiration cohort</w:t>
            </w:r>
          </w:p>
        </w:tc>
        <w:tc>
          <w:tcPr/>
          <w:p>
            <w:pPr>
              <w:pStyle w:val="Compact"/>
            </w:pPr>
            <w:r>
              <w:t xml:space="preserve">Sn 93.1%, Sp 100%, accuracy 97.9%</w:t>
            </w:r>
          </w:p>
        </w:tc>
        <w:tc>
          <w:tcPr/>
          <w:p>
            <w:pPr>
              <w:pStyle w:val="Compact"/>
            </w:pPr>
            <w:r>
              <w:t xml:space="preserve">58 / 36</w:t>
            </w:r>
          </w:p>
        </w:tc>
        <w:tc>
          <w:tcPr/>
          <w:p>
            <w:pPr>
              <w:pStyle w:val="Compact"/>
              <w:jc w:val="right"/>
            </w:pPr>
            <w:r>
              <w:t xml:space="preserve">54</w:t>
            </w:r>
          </w:p>
        </w:tc>
        <w:tc>
          <w:tcPr/>
          <w:p>
            <w:pPr>
              <w:pStyle w:val="Compact"/>
              <w:jc w:val="right"/>
            </w:pPr>
            <w:r>
              <w:t xml:space="preserve">0</w:t>
            </w:r>
          </w:p>
        </w:tc>
        <w:tc>
          <w:tcPr/>
          <w:p>
            <w:pPr>
              <w:pStyle w:val="Compact"/>
              <w:jc w:val="right"/>
            </w:pPr>
            <w:r>
              <w:t xml:space="preserve">4</w:t>
            </w:r>
          </w:p>
        </w:tc>
        <w:tc>
          <w:tcPr/>
          <w:p>
            <w:pPr>
              <w:pStyle w:val="Compact"/>
              <w:jc w:val="right"/>
            </w:pPr>
            <w:r>
              <w:t xml:space="preserve">36</w:t>
            </w:r>
          </w:p>
        </w:tc>
        <w:tc>
          <w:tcPr/>
          <w:p>
            <w:pPr>
              <w:pStyle w:val="Compact"/>
            </w:pPr>
            <w:r>
              <w:t xml:space="preserve">Results, p. e220</w:t>
            </w:r>
          </w:p>
        </w:tc>
      </w:tr>
      <w:tr>
        <w:tc>
          <w:tcPr/>
          <w:p>
            <w:pPr>
              <w:pStyle w:val="Compact"/>
            </w:pPr>
            <w:r>
              <w:t xml:space="preserve">Choi MJ 2012</w:t>
            </w:r>
          </w:p>
        </w:tc>
        <w:tc>
          <w:tcPr/>
          <w:p>
            <w:pPr>
              <w:pStyle w:val="Compact"/>
            </w:pPr>
            <w:r>
              <w:t xml:space="preserve">Full cohort</w:t>
            </w:r>
          </w:p>
        </w:tc>
        <w:tc>
          <w:tcPr/>
          <w:p>
            <w:pPr>
              <w:pStyle w:val="Compact"/>
            </w:pPr>
            <w:r>
              <w:t xml:space="preserve">Sn 95.8%, Sp 100%, accuracy 97.0%</w:t>
            </w:r>
          </w:p>
        </w:tc>
        <w:tc>
          <w:tcPr/>
          <w:p>
            <w:pPr>
              <w:pStyle w:val="Compact"/>
            </w:pPr>
            <w:r>
              <w:t xml:space="preserve">72 / 27</w:t>
            </w:r>
          </w:p>
        </w:tc>
        <w:tc>
          <w:tcPr/>
          <w:p>
            <w:pPr>
              <w:pStyle w:val="Compact"/>
              <w:jc w:val="right"/>
            </w:pPr>
            <w:r>
              <w:t xml:space="preserve">69</w:t>
            </w:r>
          </w:p>
        </w:tc>
        <w:tc>
          <w:tcPr/>
          <w:p>
            <w:pPr>
              <w:pStyle w:val="Compact"/>
              <w:jc w:val="right"/>
            </w:pPr>
            <w:r>
              <w:t xml:space="preserve">0</w:t>
            </w:r>
          </w:p>
        </w:tc>
        <w:tc>
          <w:tcPr/>
          <w:p>
            <w:pPr>
              <w:pStyle w:val="Compact"/>
              <w:jc w:val="right"/>
            </w:pPr>
            <w:r>
              <w:t xml:space="preserve">3</w:t>
            </w:r>
          </w:p>
        </w:tc>
        <w:tc>
          <w:tcPr/>
          <w:p>
            <w:pPr>
              <w:pStyle w:val="Compact"/>
              <w:jc w:val="right"/>
            </w:pPr>
            <w:r>
              <w:t xml:space="preserve">27</w:t>
            </w:r>
          </w:p>
        </w:tc>
        <w:tc>
          <w:tcPr/>
          <w:p>
            <w:pPr>
              <w:pStyle w:val="Compact"/>
            </w:pPr>
            <w:r>
              <w:t xml:space="preserve">Results and Table 1, p. e184</w:t>
            </w:r>
          </w:p>
        </w:tc>
      </w:tr>
      <w:tr>
        <w:tc>
          <w:tcPr/>
          <w:p>
            <w:pPr>
              <w:pStyle w:val="Compact"/>
            </w:pPr>
            <w:r>
              <w:t xml:space="preserve">Fior 2019</w:t>
            </w:r>
          </w:p>
        </w:tc>
        <w:tc>
          <w:tcPr/>
          <w:p>
            <w:pPr>
              <w:pStyle w:val="Compact"/>
            </w:pPr>
            <w:r>
              <w:t xml:space="preserve">Full cohort</w:t>
            </w:r>
          </w:p>
        </w:tc>
        <w:tc>
          <w:tcPr/>
          <w:p>
            <w:pPr>
              <w:pStyle w:val="Compact"/>
            </w:pPr>
            <w:r>
              <w:t xml:space="preserve">Sn 87.5%</w:t>
            </w:r>
          </w:p>
        </w:tc>
        <w:tc>
          <w:tcPr/>
          <w:p>
            <w:pPr>
              <w:pStyle w:val="Compact"/>
            </w:pPr>
            <w:r>
              <w:t xml:space="preserve">323 / 52</w:t>
            </w:r>
          </w:p>
        </w:tc>
        <w:tc>
          <w:tcPr/>
          <w:p>
            <w:pPr>
              <w:pStyle w:val="Compact"/>
              <w:jc w:val="right"/>
            </w:pPr>
            <w:r>
              <w:t xml:space="preserve">283</w:t>
            </w:r>
          </w:p>
        </w:tc>
        <w:tc>
          <w:tcPr/>
          <w:p>
            <w:pPr>
              <w:pStyle w:val="Compact"/>
              <w:jc w:val="right"/>
            </w:pPr>
            <w:r>
              <w:t xml:space="preserve">0</w:t>
            </w:r>
          </w:p>
        </w:tc>
        <w:tc>
          <w:tcPr/>
          <w:p>
            <w:pPr>
              <w:pStyle w:val="Compact"/>
              <w:jc w:val="right"/>
            </w:pPr>
            <w:r>
              <w:t xml:space="preserve">40</w:t>
            </w:r>
          </w:p>
        </w:tc>
        <w:tc>
          <w:tcPr/>
          <w:p>
            <w:pPr>
              <w:pStyle w:val="Compact"/>
              <w:jc w:val="right"/>
            </w:pPr>
            <w:r>
              <w:t xml:space="preserve">52</w:t>
            </w:r>
          </w:p>
        </w:tc>
        <w:tc>
          <w:tcPr/>
          <w:p>
            <w:pPr>
              <w:pStyle w:val="Compact"/>
            </w:pPr>
            <w:r>
              <w:t xml:space="preserve">Table 1 and Results</w:t>
            </w:r>
          </w:p>
        </w:tc>
      </w:tr>
      <w:tr>
        <w:tc>
          <w:tcPr/>
          <w:p>
            <w:pPr>
              <w:pStyle w:val="Compact"/>
            </w:pPr>
            <w:r>
              <w:t xml:space="preserve">Cho 2024</w:t>
            </w:r>
          </w:p>
        </w:tc>
        <w:tc>
          <w:tcPr/>
          <w:p>
            <w:pPr>
              <w:pStyle w:val="Compact"/>
            </w:pPr>
            <w:r>
              <w:t xml:space="preserve">Intention-to-diagnose cohort</w:t>
            </w:r>
          </w:p>
        </w:tc>
        <w:tc>
          <w:tcPr/>
          <w:p>
            <w:pPr>
              <w:pStyle w:val="Compact"/>
            </w:pPr>
            <w:r>
              <w:t xml:space="preserve">Sn 88.0%, Sp 100% (ITD)</w:t>
            </w:r>
          </w:p>
        </w:tc>
        <w:tc>
          <w:tcPr/>
          <w:p>
            <w:pPr>
              <w:pStyle w:val="Compact"/>
            </w:pPr>
            <w:r>
              <w:t xml:space="preserve">234 / 11</w:t>
            </w:r>
          </w:p>
        </w:tc>
        <w:tc>
          <w:tcPr/>
          <w:p>
            <w:pPr>
              <w:pStyle w:val="Compact"/>
              <w:jc w:val="right"/>
            </w:pPr>
            <w:r>
              <w:t xml:space="preserve">206</w:t>
            </w:r>
          </w:p>
        </w:tc>
        <w:tc>
          <w:tcPr/>
          <w:p>
            <w:pPr>
              <w:pStyle w:val="Compact"/>
              <w:jc w:val="right"/>
            </w:pPr>
            <w:r>
              <w:t xml:space="preserve">0</w:t>
            </w:r>
          </w:p>
        </w:tc>
        <w:tc>
          <w:tcPr/>
          <w:p>
            <w:pPr>
              <w:pStyle w:val="Compact"/>
              <w:jc w:val="right"/>
            </w:pPr>
            <w:r>
              <w:t xml:space="preserve">28</w:t>
            </w:r>
          </w:p>
        </w:tc>
        <w:tc>
          <w:tcPr/>
          <w:p>
            <w:pPr>
              <w:pStyle w:val="Compact"/>
              <w:jc w:val="right"/>
            </w:pPr>
            <w:r>
              <w:t xml:space="preserve">11</w:t>
            </w:r>
          </w:p>
        </w:tc>
        <w:tc>
          <w:tcPr/>
          <w:p>
            <w:pPr>
              <w:pStyle w:val="Compact"/>
            </w:pPr>
            <w:r>
              <w:t xml:space="preserve">Section 3.2 (p. 5) and Table 2</w:t>
            </w:r>
          </w:p>
        </w:tc>
      </w:tr>
    </w:tbl>
    <w:p>
      <w:pPr>
        <w:pStyle w:val="BodyText"/>
      </w:pPr>
      <w:r>
        <w:t xml:space="preserve">Sn, sensitivity; Sp, specificity; ITD, intention-to-diagnose. For each study the reconstructed cells reproduce the reported sensitivity (TP / [TP + FN]) and specificity (TN / [TN + FP]).</w:t>
      </w:r>
    </w:p>
    <w:bookmarkEnd w:id="59"/>
    <w:bookmarkStart w:id="60" w:name="reconciliation-notes"/>
    <w:p>
      <w:pPr>
        <w:pStyle w:val="Heading2"/>
      </w:pPr>
      <w:r>
        <w:t xml:space="preserve">Reconciliation notes</w:t>
      </w:r>
    </w:p>
    <w:p>
      <w:pPr>
        <w:pStyle w:val="FirstParagraph"/>
      </w:pPr>
      <w:r>
        <w:t xml:space="preserve">Five reconstructions involved a population-scope or non-diagnostic-handling decision that was reconciled against the primary source:</w:t>
      </w:r>
    </w:p>
    <w:p>
      <w:pPr>
        <w:pStyle w:val="Compact"/>
        <w:numPr>
          <w:ilvl w:val="0"/>
          <w:numId w:val="1009"/>
        </w:numPr>
      </w:pPr>
      <w:r>
        <w:rPr>
          <w:b/>
          <w:bCs/>
        </w:rPr>
        <w:t xml:space="preserve">Rotolo 2016.</w:t>
      </w:r>
      <w:r>
        <w:t xml:space="preserve"> </w:t>
      </w:r>
      <w:r>
        <w:t xml:space="preserve">The published cohort of 113 includes 10 indeterminate cases that the study excluded from its diagnostic-accuracy analysis (Table 3). The 103 evaluable cases were used, giving 74 malignant and 29 benign lesions.</w:t>
      </w:r>
    </w:p>
    <w:p>
      <w:pPr>
        <w:pStyle w:val="Compact"/>
        <w:numPr>
          <w:ilvl w:val="0"/>
          <w:numId w:val="1009"/>
        </w:numPr>
      </w:pPr>
      <w:r>
        <w:rPr>
          <w:b/>
          <w:bCs/>
        </w:rPr>
        <w:t xml:space="preserve">Zou 2024.</w:t>
      </w:r>
      <w:r>
        <w:t xml:space="preserve"> </w:t>
      </w:r>
      <w:r>
        <w:t xml:space="preserve">The CBCT arm comprised 139 malignant, 22 benign, and 19 indeterminate lesions; the indeterminate cases were excluded by the original study, leaving 161 evaluable cases in the CBCT arm.</w:t>
      </w:r>
    </w:p>
    <w:p>
      <w:pPr>
        <w:pStyle w:val="Compact"/>
        <w:numPr>
          <w:ilvl w:val="0"/>
          <w:numId w:val="1009"/>
        </w:numPr>
      </w:pPr>
      <w:r>
        <w:rPr>
          <w:b/>
          <w:bCs/>
        </w:rPr>
        <w:t xml:space="preserve">Cho 2024.</w:t>
      </w:r>
      <w:r>
        <w:t xml:space="preserve"> </w:t>
      </w:r>
      <w:r>
        <w:t xml:space="preserve">The primary report provided a per-protocol two-by-two table (222 evaluable cases) and per-patient final diagnoses for the 23 non-evaluable specimens. Under the intention-to-diagnose rule used throughout this review, non-evaluable specimens were classified as test-negative with the reference standard set by the final diagnosis (22 malignant, 1 benign), yielding 245 cases with TP 206, FN 28, and TN 11.</w:t>
      </w:r>
    </w:p>
    <w:p>
      <w:pPr>
        <w:pStyle w:val="Compact"/>
        <w:numPr>
          <w:ilvl w:val="0"/>
          <w:numId w:val="1009"/>
        </w:numPr>
      </w:pPr>
      <w:r>
        <w:rPr>
          <w:b/>
          <w:bCs/>
        </w:rPr>
        <w:t xml:space="preserve">Floridi 2014.</w:t>
      </w:r>
      <w:r>
        <w:t xml:space="preserve"> </w:t>
      </w:r>
      <w:r>
        <w:t xml:space="preserve">Specificity was reported as 100% with 20 benign lesions; the malignant denominator (75) was derived from the reported sensitivity and the 7 false negatives stated in the text.</w:t>
      </w:r>
    </w:p>
    <w:p>
      <w:pPr>
        <w:pStyle w:val="Compact"/>
        <w:numPr>
          <w:ilvl w:val="0"/>
          <w:numId w:val="1009"/>
        </w:numPr>
      </w:pPr>
      <w:r>
        <w:rPr>
          <w:b/>
          <w:bCs/>
        </w:rPr>
        <w:t xml:space="preserve">Fior 2019.</w:t>
      </w:r>
      <w:r>
        <w:t xml:space="preserve"> </w:t>
      </w:r>
      <w:r>
        <w:t xml:space="preserve">Sensitivity (87.5%) and the malignant denominator (323) were reported; the benign denominator (52) reflects the study’s combined histologic and follow-up reference standard.</w:t>
      </w:r>
    </w:p>
    <w:p>
      <w:pPr>
        <w:pStyle w:val="FirstParagraph"/>
      </w:pPr>
      <w:r>
        <w:t xml:space="preserve">Comparative studies were restricted to the CBCT arm, and subgroup-restricted cohorts (for example, fine-needle-aspiration-only or lesion-size-restricted cohorts) were retained in the primary analysis and tested in the leave-one-out and intention-to-diagnose sensitivity analyses reported in the main text.</w:t>
      </w:r>
    </w:p>
    <w:bookmarkEnd w:id="60"/>
    <w:bookmarkEnd w:id="61"/>
    <w:bookmarkStart w:id="69" w:name="Xa790b8e331c633ea6e529bc4f6f83337b45559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dc:title>
  <dc:creator/>
  <cp:keywords/>
  <dcterms:created xsi:type="dcterms:W3CDTF">2026-06-19T17:36:35Z</dcterms:created>
  <dcterms:modified xsi:type="dcterms:W3CDTF">2026-06-19T17:36:35Z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nfont">
    <vt:lpwstr>Arial Unicode MS</vt:lpwstr>
  </property>
  <property fmtid="{D5CDD505-2E9C-101B-9397-08002B2CF9AE}" pid="3" name="monofont">
    <vt:lpwstr>Nanum Gothic</vt:lpwstr>
  </property>
  <property fmtid="{D5CDD505-2E9C-101B-9397-08002B2CF9AE}" pid="4" name="subtitle">
    <vt:lpwstr>Diagnostic Accuracy and Safety of Cone-Beam CT-Guided Percutaneous Transthoracic Lung Biopsy: An Updated Systematic Review and Meta-Analysis</vt:lpwstr>
  </property>
</Properties>
</file>